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92" w:rsidRPr="00A02F92" w:rsidRDefault="00A02F92" w:rsidP="00A02F92">
      <w:pPr>
        <w:rPr>
          <w:b/>
        </w:rPr>
      </w:pPr>
      <w:r w:rsidRPr="00A02F92">
        <w:rPr>
          <w:b/>
        </w:rPr>
        <w:t>Example of Overhead Cost Pool Elements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Occupancy/Facilities-related costs (leased space, utilities, maintenance,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Service Center Usage Costs (Intermediate Cost Pools – MIS, HR Service Centers,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Telephone/Telecommunications costs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Depreciation Expenses (capital equipment purchases, computers, furniture, office equip,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Indirect travel (not charged direct to contracts)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Training courses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BD/Division-specific Taxes and Licenses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Indirect/Expense labor specific to Business Unit/Division (Secretaries,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Office Supplies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Postage and Handling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Dues, Memberships and Subscriptions</w:t>
      </w:r>
    </w:p>
    <w:p w:rsidR="00A02F92" w:rsidRPr="00A02F92" w:rsidRDefault="00A02F92" w:rsidP="00A02F92">
      <w:pPr>
        <w:pStyle w:val="ListParagraph"/>
        <w:numPr>
          <w:ilvl w:val="0"/>
          <w:numId w:val="1"/>
        </w:numPr>
      </w:pPr>
      <w:r>
        <w:t>Pre-employment Costs (Advertising, Recruiting, Relocation, Agency Fees, etc.)</w:t>
      </w:r>
      <w:bookmarkStart w:id="0" w:name="_GoBack"/>
      <w:bookmarkEnd w:id="0"/>
    </w:p>
    <w:p w:rsidR="00A02F92" w:rsidRPr="00A02F92" w:rsidRDefault="00A02F92" w:rsidP="00A02F92">
      <w:pPr>
        <w:rPr>
          <w:b/>
        </w:rPr>
      </w:pPr>
      <w:r w:rsidRPr="00A02F92">
        <w:rPr>
          <w:b/>
        </w:rPr>
        <w:t>Example of G&amp;A Cost Pool Elements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Bid and Proposal (B&amp;P) Costs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IR&amp;D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Sales and Marketing Costs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Legal and Accounting expenses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Corporate Communications/Public and Government Relations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Sector/Group/Corporate Executives, Staff and related expenses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Sector/Group/Corporate–wide insurance costs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CAS 403 Allocations (Home Office Allocations from Parent, if applicable)</w:t>
      </w:r>
    </w:p>
    <w:p w:rsidR="00A02F92" w:rsidRPr="00A02F92" w:rsidRDefault="00A02F92" w:rsidP="00A02F92">
      <w:pPr>
        <w:rPr>
          <w:b/>
        </w:rPr>
      </w:pPr>
      <w:r w:rsidRPr="00A02F92">
        <w:rPr>
          <w:b/>
        </w:rPr>
        <w:t>Examples of Fringe Cost Pool Elements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FICA/Medicare Employer Matching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Workers Compensation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Vacation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Paid Holidays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Other Paid Time-off (Sick time, Jury Duty, Facility Shut-downs,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Unemployment Insurance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Employer-paid Health Benefits (Medical, Dental, Life, Vision, Wellness Programs,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Employer-paid contribution to retirement programs (401k, etc.)</w:t>
      </w:r>
    </w:p>
    <w:p w:rsidR="00A02F92" w:rsidRDefault="00A02F92" w:rsidP="00A02F92">
      <w:pPr>
        <w:pStyle w:val="ListParagraph"/>
        <w:numPr>
          <w:ilvl w:val="0"/>
          <w:numId w:val="1"/>
        </w:numPr>
      </w:pPr>
      <w:r>
        <w:t>Bonuses</w:t>
      </w:r>
    </w:p>
    <w:sectPr w:rsidR="00A02F92" w:rsidSect="00F178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B" w:rsidRDefault="0030510B" w:rsidP="00A02F92">
      <w:pPr>
        <w:spacing w:after="0" w:line="240" w:lineRule="auto"/>
      </w:pPr>
      <w:r>
        <w:separator/>
      </w:r>
    </w:p>
  </w:endnote>
  <w:endnote w:type="continuationSeparator" w:id="0">
    <w:p w:rsidR="0030510B" w:rsidRDefault="0030510B" w:rsidP="00A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B" w:rsidRDefault="0030510B" w:rsidP="00A02F92">
      <w:pPr>
        <w:spacing w:after="0" w:line="240" w:lineRule="auto"/>
      </w:pPr>
      <w:r>
        <w:separator/>
      </w:r>
    </w:p>
  </w:footnote>
  <w:footnote w:type="continuationSeparator" w:id="0">
    <w:p w:rsidR="0030510B" w:rsidRDefault="0030510B" w:rsidP="00A0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92" w:rsidRDefault="00A02F92">
    <w:pPr>
      <w:pStyle w:val="Header"/>
    </w:pPr>
    <w:r>
      <w:t>Understanding the Wrap Rate</w:t>
    </w:r>
    <w:r>
      <w:tab/>
    </w:r>
    <w:r>
      <w:tab/>
      <w:t>OST Global Solutions, Inc.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B7D"/>
    <w:multiLevelType w:val="hybridMultilevel"/>
    <w:tmpl w:val="EDC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F92"/>
    <w:rsid w:val="0030510B"/>
    <w:rsid w:val="0030793F"/>
    <w:rsid w:val="004A1C9F"/>
    <w:rsid w:val="00960F6C"/>
    <w:rsid w:val="009D67E2"/>
    <w:rsid w:val="00A02F92"/>
    <w:rsid w:val="00F1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92"/>
  </w:style>
  <w:style w:type="paragraph" w:styleId="Footer">
    <w:name w:val="footer"/>
    <w:basedOn w:val="Normal"/>
    <w:link w:val="FooterChar"/>
    <w:uiPriority w:val="99"/>
    <w:unhideWhenUsed/>
    <w:rsid w:val="00A0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92"/>
  </w:style>
  <w:style w:type="paragraph" w:styleId="Footer">
    <w:name w:val="footer"/>
    <w:basedOn w:val="Normal"/>
    <w:link w:val="FooterChar"/>
    <w:uiPriority w:val="99"/>
    <w:unhideWhenUsed/>
    <w:rsid w:val="00A0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1B8C9E7DB747BFB4C0D78B606131" ma:contentTypeVersion="8" ma:contentTypeDescription="Create a new document." ma:contentTypeScope="" ma:versionID="08ca3226d6cfe5a7771227905164c3df">
  <xsd:schema xmlns:xsd="http://www.w3.org/2001/XMLSchema" xmlns:xs="http://www.w3.org/2001/XMLSchema" xmlns:p="http://schemas.microsoft.com/office/2006/metadata/properties" xmlns:ns2="f97ff1ac-894a-45a2-8b48-6309a27cd334" xmlns:ns3="9046c589-78aa-4615-8a78-c6d7cbc86a15" targetNamespace="http://schemas.microsoft.com/office/2006/metadata/properties" ma:root="true" ma:fieldsID="429a1a0e15b33ac0b6d931e810b3e2bb" ns2:_="" ns3:_="">
    <xsd:import namespace="f97ff1ac-894a-45a2-8b48-6309a27cd334"/>
    <xsd:import namespace="9046c589-78aa-4615-8a78-c6d7cbc86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f1ac-894a-45a2-8b48-6309a27cd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c589-78aa-4615-8a78-c6d7cbc8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ff1ac-894a-45a2-8b48-6309a27cd334">FJQ3RZUUXK2M-1545715999-388</_dlc_DocId>
    <_dlc_DocIdUrl xmlns="f97ff1ac-894a-45a2-8b48-6309a27cd334">
      <Url>https://netorg872092.sharepoint.com/sites/LMS/_layouts/15/DocIdRedir.aspx?ID=FJQ3RZUUXK2M-1545715999-388</Url>
      <Description>FJQ3RZUUXK2M-1545715999-388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ABF15A-1B6A-445C-B9A4-DE3941310809}"/>
</file>

<file path=customXml/itemProps2.xml><?xml version="1.0" encoding="utf-8"?>
<ds:datastoreItem xmlns:ds="http://schemas.openxmlformats.org/officeDocument/2006/customXml" ds:itemID="{AC82ADBF-D62A-476E-AA1E-9404A2B58A66}"/>
</file>

<file path=customXml/itemProps3.xml><?xml version="1.0" encoding="utf-8"?>
<ds:datastoreItem xmlns:ds="http://schemas.openxmlformats.org/officeDocument/2006/customXml" ds:itemID="{C2F6BAE1-709D-4ABB-BC7E-A528BFA34BB6}"/>
</file>

<file path=customXml/itemProps4.xml><?xml version="1.0" encoding="utf-8"?>
<ds:datastoreItem xmlns:ds="http://schemas.openxmlformats.org/officeDocument/2006/customXml" ds:itemID="{B27FC15E-F2ED-46C9-9728-31D92EAAC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David</cp:lastModifiedBy>
  <cp:revision>2</cp:revision>
  <dcterms:created xsi:type="dcterms:W3CDTF">2013-07-17T14:07:00Z</dcterms:created>
  <dcterms:modified xsi:type="dcterms:W3CDTF">2013-07-17T14:07:00Z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0x01010007481B8C9E7DB747BFB4C0D78B606131</vt:lpwstr>
  </property>
  <property fmtid="{D5CDD505-2E9C-101B-9397-08002B2CF9AE}" pid="3" name="_dlc_DocIdItemGuid">
    <vt:lpwstr>3c980bc8-112d-4c56-821c-0e3e73a08493</vt:lpwstr>
  </property>
</Properties>
</file>