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8E59D" w14:textId="77777777" w:rsidR="00B6208C" w:rsidRPr="00DE624B" w:rsidRDefault="00B6208C" w:rsidP="00DE624B">
      <w:pPr>
        <w:rPr>
          <w:b/>
        </w:rPr>
      </w:pPr>
      <w:bookmarkStart w:id="0" w:name="_Toc206415447"/>
      <w:r w:rsidRPr="00DE624B">
        <w:rPr>
          <w:b/>
        </w:rPr>
        <w:br w:type="page"/>
      </w:r>
    </w:p>
    <w:p w14:paraId="2B002F49" w14:textId="6275C6CF" w:rsidR="00246CF6" w:rsidRPr="00DE624B" w:rsidRDefault="005A4F6B" w:rsidP="00DE624B">
      <w:pPr>
        <w:rPr>
          <w:b/>
        </w:rPr>
      </w:pPr>
      <w:r w:rsidRPr="00DE624B">
        <w:rPr>
          <w:b/>
        </w:rPr>
        <w:lastRenderedPageBreak/>
        <w:t>1.0 Technical Capability</w:t>
      </w:r>
      <w:bookmarkEnd w:id="0"/>
      <w:r w:rsidR="00D24283" w:rsidRPr="00DE624B">
        <w:rPr>
          <w:b/>
        </w:rPr>
        <w:t xml:space="preserve"> (</w:t>
      </w:r>
      <w:r w:rsidR="00246CF6" w:rsidRPr="00DE624B">
        <w:rPr>
          <w:b/>
        </w:rPr>
        <w:t>Preparation Instructions C.3.a.2</w:t>
      </w:r>
      <w:r w:rsidR="00EE3682" w:rsidRPr="00DE624B">
        <w:rPr>
          <w:b/>
        </w:rPr>
        <w:t>; Evaluation Factors c.(2) Factor 1, Element A</w:t>
      </w:r>
      <w:r w:rsidR="00D24283" w:rsidRPr="00DE624B">
        <w:rPr>
          <w:b/>
        </w:rPr>
        <w:t>)</w:t>
      </w:r>
    </w:p>
    <w:p w14:paraId="2B002F4A" w14:textId="77777777" w:rsidR="0004164E" w:rsidRPr="00DE624B" w:rsidRDefault="00FB1D19" w:rsidP="00DE624B">
      <w:pPr>
        <w:pStyle w:val="BodyText"/>
        <w:rPr>
          <w:b/>
          <w:i/>
        </w:rPr>
      </w:pPr>
      <w:r w:rsidRPr="00DE624B">
        <w:t>Acme</w:t>
      </w:r>
      <w:r w:rsidR="006D6FA8" w:rsidRPr="00DE624B">
        <w:t xml:space="preserve"> </w:t>
      </w:r>
      <w:r w:rsidR="0004164E" w:rsidRPr="00DE624B">
        <w:t xml:space="preserve">is </w:t>
      </w:r>
      <w:r w:rsidR="006D6FA8" w:rsidRPr="00DE624B">
        <w:t xml:space="preserve">a trusted partner </w:t>
      </w:r>
      <w:r w:rsidR="0004164E" w:rsidRPr="00DE624B">
        <w:t xml:space="preserve">to CASCOM, </w:t>
      </w:r>
      <w:r w:rsidR="006D6FA8" w:rsidRPr="00DE624B">
        <w:t xml:space="preserve">with </w:t>
      </w:r>
      <w:r w:rsidR="00BA3986" w:rsidRPr="00DE624B">
        <w:t xml:space="preserve">a </w:t>
      </w:r>
      <w:r w:rsidR="006D6FA8" w:rsidRPr="00DE624B">
        <w:t xml:space="preserve">core competency in </w:t>
      </w:r>
      <w:r w:rsidR="00BA3986" w:rsidRPr="00DE624B">
        <w:t xml:space="preserve">OE </w:t>
      </w:r>
      <w:r w:rsidR="006D6FA8" w:rsidRPr="00DE624B">
        <w:t xml:space="preserve">and the capability development process. In addition to the optimal team, </w:t>
      </w:r>
      <w:r w:rsidRPr="00DE624B">
        <w:rPr>
          <w:b/>
          <w:i/>
        </w:rPr>
        <w:t>Acme</w:t>
      </w:r>
      <w:r w:rsidR="006D6FA8" w:rsidRPr="00DE624B">
        <w:rPr>
          <w:b/>
          <w:i/>
        </w:rPr>
        <w:t xml:space="preserve"> brings a number of </w:t>
      </w:r>
      <w:r w:rsidR="0004164E" w:rsidRPr="00DE624B">
        <w:rPr>
          <w:b/>
          <w:i/>
        </w:rPr>
        <w:t>value-</w:t>
      </w:r>
      <w:r w:rsidR="006D6FA8" w:rsidRPr="00DE624B">
        <w:rPr>
          <w:b/>
          <w:i/>
        </w:rPr>
        <w:t>added resources to this requirement</w:t>
      </w:r>
      <w:r w:rsidR="0004164E" w:rsidRPr="00DE624B">
        <w:rPr>
          <w:b/>
          <w:i/>
        </w:rPr>
        <w:t>,</w:t>
      </w:r>
      <w:r w:rsidR="006D6FA8" w:rsidRPr="00DE624B">
        <w:rPr>
          <w:b/>
          <w:i/>
        </w:rPr>
        <w:t xml:space="preserve"> including</w:t>
      </w:r>
      <w:r w:rsidR="0004164E" w:rsidRPr="00DE624B">
        <w:rPr>
          <w:b/>
          <w:i/>
        </w:rPr>
        <w:t>:</w:t>
      </w:r>
      <w:r w:rsidR="006D6FA8" w:rsidRPr="00DE624B">
        <w:rPr>
          <w:b/>
          <w:i/>
        </w:rPr>
        <w:t xml:space="preserve"> </w:t>
      </w:r>
    </w:p>
    <w:p w14:paraId="2B002F4B" w14:textId="77777777" w:rsidR="0004164E" w:rsidRPr="00DE624B" w:rsidRDefault="0004164E" w:rsidP="00DE624B">
      <w:pPr>
        <w:pStyle w:val="BodyText"/>
        <w:numPr>
          <w:ilvl w:val="0"/>
          <w:numId w:val="9"/>
        </w:numPr>
        <w:spacing w:after="0"/>
        <w:rPr>
          <w:rFonts w:eastAsia="Arial Unicode MS"/>
        </w:rPr>
      </w:pPr>
      <w:r w:rsidRPr="00DE624B">
        <w:rPr>
          <w:rFonts w:eastAsia="Arial Unicode MS"/>
        </w:rPr>
        <w:t>I</w:t>
      </w:r>
      <w:r w:rsidR="006D6FA8" w:rsidRPr="00DE624B">
        <w:rPr>
          <w:rFonts w:eastAsia="Arial Unicode MS"/>
        </w:rPr>
        <w:t>ndustry-leading expertise in energy technology Research &amp; Development</w:t>
      </w:r>
      <w:r w:rsidR="003464CD" w:rsidRPr="00DE624B">
        <w:rPr>
          <w:rFonts w:eastAsia="Arial Unicode MS"/>
        </w:rPr>
        <w:t xml:space="preserve"> (R&amp;D)</w:t>
      </w:r>
      <w:r w:rsidR="00484F26" w:rsidRPr="00DE624B">
        <w:rPr>
          <w:rFonts w:eastAsia="Arial Unicode MS"/>
        </w:rPr>
        <w:t xml:space="preserve"> from internal open source research and data archive</w:t>
      </w:r>
      <w:r w:rsidRPr="00DE624B">
        <w:rPr>
          <w:rFonts w:eastAsia="Arial Unicode MS"/>
        </w:rPr>
        <w:t>;</w:t>
      </w:r>
    </w:p>
    <w:p w14:paraId="2B002F4C" w14:textId="77777777" w:rsidR="0004164E" w:rsidRPr="00DE624B" w:rsidRDefault="0004164E" w:rsidP="00DE624B">
      <w:pPr>
        <w:pStyle w:val="BodyText"/>
        <w:numPr>
          <w:ilvl w:val="0"/>
          <w:numId w:val="9"/>
        </w:numPr>
        <w:spacing w:after="0"/>
        <w:rPr>
          <w:rFonts w:eastAsia="Arial Unicode MS"/>
        </w:rPr>
      </w:pPr>
      <w:r w:rsidRPr="00DE624B">
        <w:rPr>
          <w:rFonts w:eastAsia="Arial Unicode MS"/>
        </w:rPr>
        <w:t>A</w:t>
      </w:r>
      <w:r w:rsidR="006D6FA8" w:rsidRPr="00DE624B">
        <w:rPr>
          <w:rFonts w:eastAsia="Arial Unicode MS"/>
        </w:rPr>
        <w:t xml:space="preserve"> </w:t>
      </w:r>
      <w:r w:rsidRPr="00DE624B">
        <w:rPr>
          <w:rFonts w:eastAsia="Arial Unicode MS"/>
        </w:rPr>
        <w:t>data-</w:t>
      </w:r>
      <w:r w:rsidR="006D6FA8" w:rsidRPr="00DE624B">
        <w:rPr>
          <w:rFonts w:eastAsia="Arial Unicode MS"/>
        </w:rPr>
        <w:t>rich methodology to drive better analytics</w:t>
      </w:r>
      <w:r w:rsidR="00835CD5" w:rsidRPr="00DE624B">
        <w:rPr>
          <w:rFonts w:eastAsia="Arial Unicode MS"/>
        </w:rPr>
        <w:t xml:space="preserve"> and assessments</w:t>
      </w:r>
      <w:r w:rsidRPr="00DE624B">
        <w:rPr>
          <w:rFonts w:eastAsia="Arial Unicode MS"/>
        </w:rPr>
        <w:t>;</w:t>
      </w:r>
      <w:r w:rsidR="00484F26" w:rsidRPr="00DE624B">
        <w:rPr>
          <w:rFonts w:eastAsia="Arial Unicode MS"/>
        </w:rPr>
        <w:t xml:space="preserve"> and</w:t>
      </w:r>
    </w:p>
    <w:p w14:paraId="2B002F4D" w14:textId="77777777" w:rsidR="0004164E" w:rsidRPr="00DE624B" w:rsidRDefault="00CD22AB" w:rsidP="00DE624B">
      <w:pPr>
        <w:pStyle w:val="BodyText"/>
        <w:numPr>
          <w:ilvl w:val="0"/>
          <w:numId w:val="9"/>
        </w:numPr>
        <w:spacing w:after="0"/>
        <w:rPr>
          <w:rFonts w:eastAsia="Arial Unicode MS"/>
        </w:rPr>
      </w:pPr>
      <w:r w:rsidRPr="00DE624B">
        <w:rPr>
          <w:rFonts w:eastAsia="Arial Unicode MS"/>
        </w:rPr>
        <w:t xml:space="preserve">Proven current </w:t>
      </w:r>
      <w:r w:rsidR="006D6FA8" w:rsidRPr="00DE624B">
        <w:rPr>
          <w:rFonts w:eastAsia="Arial Unicode MS"/>
        </w:rPr>
        <w:t>stakeholder relationships to synchronize CASCOM’s mission with the rest of the Army and DO</w:t>
      </w:r>
      <w:r w:rsidR="00484F26" w:rsidRPr="00DE624B">
        <w:rPr>
          <w:rFonts w:eastAsia="Arial Unicode MS"/>
        </w:rPr>
        <w:t>D</w:t>
      </w:r>
      <w:r w:rsidR="00294C85" w:rsidRPr="00DE624B">
        <w:rPr>
          <w:rFonts w:eastAsia="Arial Unicode MS"/>
        </w:rPr>
        <w:t xml:space="preserve"> (currently more than 15 organizations)</w:t>
      </w:r>
    </w:p>
    <w:p w14:paraId="2B002F4E" w14:textId="77777777" w:rsidR="00D24283" w:rsidRPr="00DE624B" w:rsidRDefault="00D24283" w:rsidP="00DE624B">
      <w:pPr>
        <w:pStyle w:val="BodyText"/>
      </w:pPr>
    </w:p>
    <w:p w14:paraId="2B002F50" w14:textId="62DA559E" w:rsidR="00092CC5" w:rsidRPr="00DE624B" w:rsidRDefault="00E423F7" w:rsidP="00DE624B">
      <w:pPr>
        <w:pStyle w:val="DEFAULT0"/>
      </w:pPr>
      <w:r w:rsidRPr="00DE624B">
        <w:t>TRADOC assessed the future Operational Environment of 2009-2025 to be increasingly expeditionary in nature</w:t>
      </w:r>
      <w:r w:rsidR="00BA3986" w:rsidRPr="00DE624B">
        <w:t>,</w:t>
      </w:r>
      <w:r w:rsidRPr="00DE624B">
        <w:t xml:space="preserve"> with increasing distributed operations</w:t>
      </w:r>
      <w:r w:rsidR="008C4DDD" w:rsidRPr="00DE624B">
        <w:t xml:space="preserve"> presenting serious challenges to traditional logistics support</w:t>
      </w:r>
      <w:r w:rsidRPr="00DE624B">
        <w:t xml:space="preserve">. </w:t>
      </w:r>
      <w:r w:rsidR="00835CD5" w:rsidRPr="00DE624B">
        <w:t>We’re currently coordinating with 10</w:t>
      </w:r>
      <w:r w:rsidR="00835CD5" w:rsidRPr="00DE624B">
        <w:rPr>
          <w:vertAlign w:val="superscript"/>
        </w:rPr>
        <w:t>th</w:t>
      </w:r>
      <w:r w:rsidR="00835CD5" w:rsidRPr="00DE624B">
        <w:t xml:space="preserve"> Special Forces Group to increase their capability through OE solutions for their current mission in Central Africa.</w:t>
      </w:r>
      <w:r w:rsidR="00D62ECF" w:rsidRPr="00DE624B">
        <w:t xml:space="preserve"> </w:t>
      </w:r>
      <w:r w:rsidR="00D0069C" w:rsidRPr="00DE624B">
        <w:t xml:space="preserve">Col. </w:t>
      </w:r>
      <w:r w:rsidR="00D24283" w:rsidRPr="00DE624B">
        <w:t>Andrew</w:t>
      </w:r>
      <w:r w:rsidR="00D0069C" w:rsidRPr="00DE624B">
        <w:t xml:space="preserve"> </w:t>
      </w:r>
      <w:r w:rsidR="00D24283" w:rsidRPr="00DE624B">
        <w:t>McCauley</w:t>
      </w:r>
      <w:r w:rsidR="00D0069C" w:rsidRPr="00DE624B">
        <w:t xml:space="preserve">, CASCOM OE Office </w:t>
      </w:r>
      <w:r w:rsidR="00D24283" w:rsidRPr="00DE624B">
        <w:t>Head</w:t>
      </w:r>
      <w:r w:rsidR="00D0069C" w:rsidRPr="00DE624B">
        <w:t>, reinforced this dynamic recently in an interview stating “</w:t>
      </w:r>
      <w:r w:rsidR="008C4DDD" w:rsidRPr="00DE624B">
        <w:rPr>
          <w:i/>
        </w:rPr>
        <w:t xml:space="preserve">The bottom line is that we are working to reduce </w:t>
      </w:r>
      <w:r w:rsidR="008C4DDD" w:rsidRPr="00DE624B">
        <w:t>our</w:t>
      </w:r>
      <w:r w:rsidR="008C4DDD" w:rsidRPr="00DE624B">
        <w:rPr>
          <w:i/>
        </w:rPr>
        <w:t xml:space="preserve"> energy footprint to free these assets for other missions, extend operating distance, increase loiter time and operational endurance, and reduce risk, both personal and fiscal.”</w:t>
      </w:r>
      <w:r w:rsidR="00D62ECF" w:rsidRPr="00DE624B">
        <w:t xml:space="preserve"> </w:t>
      </w:r>
    </w:p>
    <w:p w14:paraId="2B002F51" w14:textId="77777777" w:rsidR="007030B9" w:rsidRPr="00DE624B" w:rsidRDefault="003B167E" w:rsidP="00DE624B">
      <w:r w:rsidRPr="00DE624B">
        <w:rPr>
          <w:b/>
          <w:noProof/>
          <w:color w:val="2E2E2E"/>
        </w:rPr>
        <w:drawing>
          <wp:anchor distT="0" distB="0" distL="114300" distR="114300" simplePos="0" relativeHeight="251704320" behindDoc="1" locked="0" layoutInCell="1" allowOverlap="1" wp14:anchorId="2B003069" wp14:editId="2B00306A">
            <wp:simplePos x="0" y="0"/>
            <wp:positionH relativeFrom="column">
              <wp:posOffset>-609600</wp:posOffset>
            </wp:positionH>
            <wp:positionV relativeFrom="paragraph">
              <wp:posOffset>1026795</wp:posOffset>
            </wp:positionV>
            <wp:extent cx="4495800" cy="2971800"/>
            <wp:effectExtent l="0" t="0" r="0" b="1905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CB110F" w:rsidRPr="00DE624B">
        <w:t xml:space="preserve">Our diverse </w:t>
      </w:r>
      <w:r w:rsidR="00983E71" w:rsidRPr="00DE624B">
        <w:t>multi-disciplinary</w:t>
      </w:r>
      <w:r w:rsidR="00B81F63" w:rsidRPr="00DE624B">
        <w:t xml:space="preserve"> </w:t>
      </w:r>
      <w:r w:rsidR="00CB110F" w:rsidRPr="00DE624B">
        <w:t xml:space="preserve">background shapes </w:t>
      </w:r>
      <w:r w:rsidR="00A32027" w:rsidRPr="00DE624B">
        <w:t>our technical and organizational approach</w:t>
      </w:r>
      <w:r w:rsidR="00CB110F" w:rsidRPr="00DE624B">
        <w:t>.</w:t>
      </w:r>
      <w:r w:rsidR="00D62ECF" w:rsidRPr="00DE624B">
        <w:t xml:space="preserve"> </w:t>
      </w:r>
      <w:r w:rsidR="00CB110F" w:rsidRPr="00DE624B">
        <w:t>W</w:t>
      </w:r>
      <w:r w:rsidR="00092CC5" w:rsidRPr="00DE624B">
        <w:t xml:space="preserve">e </w:t>
      </w:r>
      <w:r w:rsidR="00EB488E" w:rsidRPr="00DE624B">
        <w:t>designed</w:t>
      </w:r>
      <w:r w:rsidR="00092CC5" w:rsidRPr="00DE624B">
        <w:t xml:space="preserve"> an </w:t>
      </w:r>
      <w:r w:rsidR="00EB488E" w:rsidRPr="00DE624B">
        <w:t>optimal</w:t>
      </w:r>
      <w:r w:rsidR="00092CC5" w:rsidRPr="00DE624B">
        <w:t xml:space="preserve"> organizational structure that aligns personnel capabilities with </w:t>
      </w:r>
      <w:r w:rsidR="00DC35F5" w:rsidRPr="00DE624B">
        <w:t xml:space="preserve">the </w:t>
      </w:r>
      <w:r w:rsidR="00092CC5" w:rsidRPr="00DE624B">
        <w:t>performance work statement</w:t>
      </w:r>
      <w:r w:rsidR="00DC35F5" w:rsidRPr="00DE624B">
        <w:t xml:space="preserve"> (PWS)</w:t>
      </w:r>
      <w:r w:rsidR="00092CC5" w:rsidRPr="00DE624B">
        <w:t xml:space="preserve"> </w:t>
      </w:r>
      <w:r w:rsidR="002A7358" w:rsidRPr="00DE624B">
        <w:t>requirements</w:t>
      </w:r>
      <w:r w:rsidR="00294C85" w:rsidRPr="00DE624B">
        <w:t xml:space="preserve">. </w:t>
      </w:r>
      <w:r w:rsidR="00DC35F5" w:rsidRPr="00DE624B">
        <w:t>Figure</w:t>
      </w:r>
      <w:r w:rsidR="00DC35F5" w:rsidRPr="00DE624B">
        <w:rPr>
          <w:b/>
        </w:rPr>
        <w:t xml:space="preserve"> </w:t>
      </w:r>
      <w:r w:rsidR="00294C85" w:rsidRPr="00DE624B">
        <w:t>below concentrates our technical solution around the 4 key tasks required by the CASCOM OE Office.  Our flat organizational structure will leverage synergies across our entire team to collaborate as needed for all four tasks.</w:t>
      </w:r>
    </w:p>
    <w:p w14:paraId="2B002F52" w14:textId="77777777" w:rsidR="007F71FB" w:rsidRPr="00DE624B" w:rsidRDefault="007F71FB" w:rsidP="00DE624B">
      <w:pPr>
        <w:pStyle w:val="BodyText"/>
        <w:rPr>
          <w:b/>
          <w:color w:val="2E2E2E"/>
        </w:rPr>
      </w:pPr>
    </w:p>
    <w:p w14:paraId="2B002F53" w14:textId="77777777" w:rsidR="007F71FB" w:rsidRPr="00DE624B" w:rsidRDefault="003B167E" w:rsidP="00DE624B">
      <w:pPr>
        <w:pStyle w:val="BodyText"/>
        <w:rPr>
          <w:color w:val="2E2E2E"/>
        </w:rPr>
      </w:pPr>
      <w:r w:rsidRPr="00DE624B">
        <w:rPr>
          <w:b/>
          <w:noProof/>
          <w:color w:val="2E2E2E"/>
        </w:rPr>
        <mc:AlternateContent>
          <mc:Choice Requires="wps">
            <w:drawing>
              <wp:anchor distT="0" distB="0" distL="114300" distR="114300" simplePos="0" relativeHeight="251705344" behindDoc="0" locked="0" layoutInCell="1" allowOverlap="1" wp14:anchorId="2B00306B" wp14:editId="2B00306C">
                <wp:simplePos x="0" y="0"/>
                <wp:positionH relativeFrom="column">
                  <wp:posOffset>-571500</wp:posOffset>
                </wp:positionH>
                <wp:positionV relativeFrom="paragraph">
                  <wp:posOffset>165735</wp:posOffset>
                </wp:positionV>
                <wp:extent cx="2514600" cy="1943100"/>
                <wp:effectExtent l="0" t="0" r="25400" b="38100"/>
                <wp:wrapNone/>
                <wp:docPr id="5" name="Text Box 5"/>
                <wp:cNvGraphicFramePr/>
                <a:graphic xmlns:a="http://schemas.openxmlformats.org/drawingml/2006/main">
                  <a:graphicData uri="http://schemas.microsoft.com/office/word/2010/wordprocessingShape">
                    <wps:wsp>
                      <wps:cNvSpPr txBox="1"/>
                      <wps:spPr>
                        <a:xfrm>
                          <a:off x="0" y="0"/>
                          <a:ext cx="2514600" cy="1943100"/>
                        </a:xfrm>
                        <a:prstGeom prst="rect">
                          <a:avLst/>
                        </a:prstGeom>
                        <a:gradFill>
                          <a:gsLst>
                            <a:gs pos="0">
                              <a:schemeClr val="bg2"/>
                            </a:gs>
                            <a:gs pos="50000">
                              <a:schemeClr val="bg2">
                                <a:lumMod val="90000"/>
                              </a:schemeClr>
                            </a:gs>
                            <a:gs pos="100000">
                              <a:schemeClr val="bg2">
                                <a:lumMod val="50000"/>
                              </a:schemeClr>
                            </a:gs>
                          </a:gsLst>
                          <a:lin ang="5400000" scaled="0"/>
                        </a:gradFill>
                        <a:ln w="22225" cmpd="sng">
                          <a:solidFill>
                            <a:schemeClr val="tx2">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003089" w14:textId="77777777" w:rsidR="0091138F" w:rsidRPr="00607AC0" w:rsidRDefault="0091138F" w:rsidP="00607AC0">
                            <w:pPr>
                              <w:rPr>
                                <w:i/>
                              </w:rPr>
                            </w:pPr>
                            <w:r w:rsidRPr="00607AC0">
                              <w:rPr>
                                <w:b/>
                              </w:rPr>
                              <w:t>Figure 1.0-1.</w:t>
                            </w:r>
                            <w:r>
                              <w:t xml:space="preserve"> </w:t>
                            </w:r>
                            <w:r w:rsidRPr="00607AC0">
                              <w:rPr>
                                <w:b/>
                              </w:rPr>
                              <w:t>Operational Construct.</w:t>
                            </w:r>
                            <w:r>
                              <w:t xml:space="preserve"> </w:t>
                            </w:r>
                            <w:r w:rsidR="00FB1D19">
                              <w:rPr>
                                <w:i/>
                              </w:rPr>
                              <w:t>Acme</w:t>
                            </w:r>
                            <w:r w:rsidRPr="00607AC0">
                              <w:rPr>
                                <w:i/>
                              </w:rPr>
                              <w:t xml:space="preserve"> will support CASCOM with OE support through four primary tasks outlin</w:t>
                            </w:r>
                            <w:r>
                              <w:rPr>
                                <w:i/>
                              </w:rPr>
                              <w:t xml:space="preserve">ed in the graphic to the left. </w:t>
                            </w:r>
                            <w:r w:rsidRPr="00607AC0">
                              <w:rPr>
                                <w:i/>
                              </w:rPr>
                              <w:t>The following sections will demonstrate our technical competence and mission oriented approach to each task rooted in current relevant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00306B" id="_x0000_t202" coordsize="21600,21600" o:spt="202" path="m,l,21600r21600,l21600,xe">
                <v:stroke joinstyle="miter"/>
                <v:path gradientshapeok="t" o:connecttype="rect"/>
              </v:shapetype>
              <v:shape id="Text Box 5" o:spid="_x0000_s1026" type="#_x0000_t202" style="position:absolute;margin-left:-45pt;margin-top:13.05pt;width:198pt;height:15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" fillcolor="#eeece1 [3214]" strokecolor="#0f243e [1615]" strokeweight="1.75pt">
                <v:fill color2="#938953 [1614]" colors="0 #eeece1;.5 #ddd9c3;1 #948a54" focus="100%" type="gradient">
                  <o:fill v:ext="view" type="gradientUnscaled"/>
                </v:fill>
                <v:textbox>
                  <w:txbxContent>
                    <w:p w14:paraId="2B003089" w14:textId="77777777" w:rsidR="0091138F" w:rsidRPr="00607AC0" w:rsidRDefault="0091138F" w:rsidP="00607AC0">
                      <w:pPr>
                        <w:rPr>
                          <w:i/>
                        </w:rPr>
                      </w:pPr>
                      <w:r w:rsidRPr="00607AC0">
                        <w:rPr>
                          <w:b/>
                        </w:rPr>
                        <w:t>Figure 1.0-1.</w:t>
                      </w:r>
                      <w:r>
                        <w:t xml:space="preserve"> </w:t>
                      </w:r>
                      <w:r w:rsidRPr="00607AC0">
                        <w:rPr>
                          <w:b/>
                        </w:rPr>
                        <w:t>Operational Construct.</w:t>
                      </w:r>
                      <w:r>
                        <w:t xml:space="preserve"> </w:t>
                      </w:r>
                      <w:r w:rsidR="00FB1D19">
                        <w:rPr>
                          <w:i/>
                        </w:rPr>
                        <w:t>Acme</w:t>
                      </w:r>
                      <w:r w:rsidRPr="00607AC0">
                        <w:rPr>
                          <w:i/>
                        </w:rPr>
                        <w:t xml:space="preserve"> will support CASCOM with OE support through four primary tasks outlin</w:t>
                      </w:r>
                      <w:r>
                        <w:rPr>
                          <w:i/>
                        </w:rPr>
                        <w:t xml:space="preserve">ed in the graphic to the left. </w:t>
                      </w:r>
                      <w:r w:rsidRPr="00607AC0">
                        <w:rPr>
                          <w:i/>
                        </w:rPr>
                        <w:t>The following sections will demonstrate our technical competence and mission oriented approach to each task rooted in current relevant experience.</w:t>
                      </w:r>
                    </w:p>
                  </w:txbxContent>
                </v:textbox>
              </v:shape>
            </w:pict>
          </mc:Fallback>
        </mc:AlternateContent>
      </w:r>
    </w:p>
    <w:p w14:paraId="2B002F54" w14:textId="77777777" w:rsidR="002B2165" w:rsidRPr="00DE624B" w:rsidRDefault="002B2165" w:rsidP="00DE624B">
      <w:pPr>
        <w:pStyle w:val="BodyText"/>
      </w:pPr>
      <w:bookmarkStart w:id="1" w:name="_Toc206415448"/>
    </w:p>
    <w:p w14:paraId="2B002F55" w14:textId="77777777" w:rsidR="002B2165" w:rsidRPr="00DE624B" w:rsidRDefault="002B2165" w:rsidP="00DE624B">
      <w:pPr>
        <w:pStyle w:val="BodyText"/>
      </w:pPr>
    </w:p>
    <w:p w14:paraId="2B002F56" w14:textId="77777777" w:rsidR="003B167E" w:rsidRPr="00DE624B" w:rsidRDefault="003B167E" w:rsidP="00DE624B">
      <w:pPr>
        <w:pStyle w:val="BodyText"/>
      </w:pPr>
    </w:p>
    <w:p w14:paraId="2B002F57" w14:textId="77777777" w:rsidR="003B167E" w:rsidRPr="00DE624B" w:rsidRDefault="003B167E" w:rsidP="00DE624B">
      <w:pPr>
        <w:pStyle w:val="BodyText"/>
      </w:pPr>
    </w:p>
    <w:p w14:paraId="2B002F58" w14:textId="77777777" w:rsidR="003B167E" w:rsidRPr="00DE624B" w:rsidRDefault="003B167E" w:rsidP="00DE624B">
      <w:pPr>
        <w:pStyle w:val="BodyText"/>
      </w:pPr>
    </w:p>
    <w:p w14:paraId="2B002F59" w14:textId="77777777" w:rsidR="003B167E" w:rsidRPr="00DE624B" w:rsidRDefault="003B167E" w:rsidP="00DE624B">
      <w:pPr>
        <w:pStyle w:val="BodyText"/>
      </w:pPr>
    </w:p>
    <w:p w14:paraId="2B002F5A" w14:textId="77777777" w:rsidR="003B167E" w:rsidRPr="00DE624B" w:rsidRDefault="003B167E" w:rsidP="00DE624B">
      <w:pPr>
        <w:pStyle w:val="BodyText"/>
      </w:pPr>
    </w:p>
    <w:p w14:paraId="2B002F5B" w14:textId="77777777" w:rsidR="003B167E" w:rsidRPr="00DE624B" w:rsidRDefault="003B167E" w:rsidP="00DE624B">
      <w:pPr>
        <w:pStyle w:val="BodyText"/>
      </w:pPr>
    </w:p>
    <w:p w14:paraId="2B002F5C" w14:textId="77777777" w:rsidR="003B167E" w:rsidRPr="00DE624B" w:rsidRDefault="003B167E" w:rsidP="00DE624B">
      <w:pPr>
        <w:pStyle w:val="BodyText"/>
      </w:pPr>
    </w:p>
    <w:p w14:paraId="2B002F5D" w14:textId="77777777" w:rsidR="00DC35F5" w:rsidRPr="00DE624B" w:rsidRDefault="00DC35F5" w:rsidP="00DE624B">
      <w:pPr>
        <w:pStyle w:val="BodyText"/>
      </w:pPr>
      <w:r w:rsidRPr="00DE624B">
        <w:t xml:space="preserve">This construct ensures we meet our core team mission of developing valued operational energy concepts and products for the CASCOM Operational Energy Office and its customers. The details of our approach are outlined in the sections below. </w:t>
      </w:r>
      <w:r w:rsidR="00FB1D19" w:rsidRPr="00DE624B">
        <w:rPr>
          <w:b/>
          <w:i/>
        </w:rPr>
        <w:t>Acme</w:t>
      </w:r>
      <w:r w:rsidRPr="00DE624B">
        <w:rPr>
          <w:b/>
          <w:i/>
        </w:rPr>
        <w:t xml:space="preserve"> offers high operational relevance to CASCOM in order to better inform the </w:t>
      </w:r>
      <w:r w:rsidR="00A253C4" w:rsidRPr="00DE624B">
        <w:rPr>
          <w:b/>
          <w:i/>
        </w:rPr>
        <w:t xml:space="preserve">Joint Capabilities Identification and Development System (JCIDS) </w:t>
      </w:r>
      <w:r w:rsidRPr="00DE624B">
        <w:rPr>
          <w:b/>
          <w:i/>
        </w:rPr>
        <w:t xml:space="preserve">process. </w:t>
      </w:r>
    </w:p>
    <w:p w14:paraId="2B002F5E" w14:textId="77777777" w:rsidR="00246CF6" w:rsidRPr="00DE624B" w:rsidRDefault="00246CF6" w:rsidP="00DE624B">
      <w:pPr>
        <w:pStyle w:val="Heading2"/>
        <w:numPr>
          <w:ilvl w:val="1"/>
          <w:numId w:val="10"/>
        </w:numPr>
        <w:rPr>
          <w:rFonts w:ascii="Times New Roman" w:hAnsi="Times New Roman"/>
          <w:sz w:val="24"/>
        </w:rPr>
      </w:pPr>
      <w:r w:rsidRPr="00DE624B">
        <w:rPr>
          <w:rFonts w:ascii="Times New Roman" w:hAnsi="Times New Roman"/>
          <w:sz w:val="24"/>
        </w:rPr>
        <w:lastRenderedPageBreak/>
        <w:t>Administrative</w:t>
      </w:r>
      <w:bookmarkEnd w:id="1"/>
    </w:p>
    <w:p w14:paraId="2B002F5F" w14:textId="77777777" w:rsidR="008F78CF" w:rsidRPr="00DE624B" w:rsidRDefault="00246CF6" w:rsidP="00DE624B">
      <w:pPr>
        <w:pStyle w:val="Referencecitation"/>
        <w:jc w:val="left"/>
        <w:rPr>
          <w:rFonts w:ascii="Times New Roman" w:hAnsi="Times New Roman" w:cs="Times New Roman"/>
          <w:sz w:val="24"/>
          <w:szCs w:val="24"/>
        </w:rPr>
      </w:pPr>
      <w:r w:rsidRPr="00DE624B">
        <w:rPr>
          <w:rFonts w:ascii="Times New Roman" w:hAnsi="Times New Roman" w:cs="Times New Roman"/>
          <w:sz w:val="24"/>
          <w:szCs w:val="24"/>
        </w:rPr>
        <w:t xml:space="preserve">PWS </w:t>
      </w:r>
      <w:r w:rsidR="00EE3682" w:rsidRPr="00DE624B">
        <w:rPr>
          <w:rFonts w:ascii="Times New Roman" w:hAnsi="Times New Roman" w:cs="Times New Roman"/>
          <w:sz w:val="24"/>
          <w:szCs w:val="24"/>
        </w:rPr>
        <w:t xml:space="preserve">3.0, </w:t>
      </w:r>
      <w:r w:rsidRPr="00DE624B">
        <w:rPr>
          <w:rFonts w:ascii="Times New Roman" w:hAnsi="Times New Roman" w:cs="Times New Roman"/>
          <w:sz w:val="24"/>
          <w:szCs w:val="24"/>
        </w:rPr>
        <w:t>3.1</w:t>
      </w:r>
      <w:r w:rsidR="00EE3682" w:rsidRPr="00DE624B">
        <w:rPr>
          <w:rFonts w:ascii="Times New Roman" w:hAnsi="Times New Roman" w:cs="Times New Roman"/>
          <w:sz w:val="24"/>
          <w:szCs w:val="24"/>
        </w:rPr>
        <w:t>;</w:t>
      </w:r>
      <w:r w:rsidR="000311EE" w:rsidRPr="00DE624B">
        <w:rPr>
          <w:rFonts w:ascii="Times New Roman" w:hAnsi="Times New Roman" w:cs="Times New Roman"/>
          <w:sz w:val="24"/>
          <w:szCs w:val="24"/>
        </w:rPr>
        <w:t xml:space="preserve"> CDRLs A001 – A00</w:t>
      </w:r>
      <w:r w:rsidR="008F78CF" w:rsidRPr="00DE624B">
        <w:rPr>
          <w:rFonts w:ascii="Times New Roman" w:hAnsi="Times New Roman" w:cs="Times New Roman"/>
          <w:sz w:val="24"/>
          <w:szCs w:val="24"/>
        </w:rPr>
        <w:t>4</w:t>
      </w:r>
      <w:r w:rsidR="000311EE" w:rsidRPr="00DE624B">
        <w:rPr>
          <w:rFonts w:ascii="Times New Roman" w:hAnsi="Times New Roman" w:cs="Times New Roman"/>
          <w:sz w:val="24"/>
          <w:szCs w:val="24"/>
        </w:rPr>
        <w:t>, A00</w:t>
      </w:r>
      <w:r w:rsidR="008F78CF" w:rsidRPr="00DE624B">
        <w:rPr>
          <w:rFonts w:ascii="Times New Roman" w:hAnsi="Times New Roman" w:cs="Times New Roman"/>
          <w:sz w:val="24"/>
          <w:szCs w:val="24"/>
        </w:rPr>
        <w:t>6</w:t>
      </w:r>
      <w:r w:rsidR="000311EE" w:rsidRPr="00DE624B">
        <w:rPr>
          <w:rFonts w:ascii="Times New Roman" w:hAnsi="Times New Roman" w:cs="Times New Roman"/>
          <w:sz w:val="24"/>
          <w:szCs w:val="24"/>
        </w:rPr>
        <w:t>, A01</w:t>
      </w:r>
      <w:r w:rsidR="008F78CF" w:rsidRPr="00DE624B">
        <w:rPr>
          <w:rFonts w:ascii="Times New Roman" w:hAnsi="Times New Roman" w:cs="Times New Roman"/>
          <w:sz w:val="24"/>
          <w:szCs w:val="24"/>
        </w:rPr>
        <w:t>3</w:t>
      </w:r>
      <w:r w:rsidR="000311EE" w:rsidRPr="00DE624B">
        <w:rPr>
          <w:rFonts w:ascii="Times New Roman" w:hAnsi="Times New Roman" w:cs="Times New Roman"/>
          <w:sz w:val="24"/>
          <w:szCs w:val="24"/>
        </w:rPr>
        <w:t xml:space="preserve"> – A0</w:t>
      </w:r>
      <w:r w:rsidR="008F78CF" w:rsidRPr="00DE624B">
        <w:rPr>
          <w:rFonts w:ascii="Times New Roman" w:hAnsi="Times New Roman" w:cs="Times New Roman"/>
          <w:sz w:val="24"/>
          <w:szCs w:val="24"/>
        </w:rPr>
        <w:t>20</w:t>
      </w:r>
    </w:p>
    <w:p w14:paraId="2B002F60" w14:textId="77777777" w:rsidR="00A32027" w:rsidRPr="00DE624B" w:rsidRDefault="00F1223F" w:rsidP="00DE624B">
      <w:pPr>
        <w:rPr>
          <w:b/>
        </w:rPr>
      </w:pPr>
      <w:r w:rsidRPr="00DE624B">
        <w:rPr>
          <w:b/>
        </w:rPr>
        <w:t>Understanding of the specific task:</w:t>
      </w:r>
    </w:p>
    <w:p w14:paraId="0EE03E4C" w14:textId="77777777" w:rsidR="00DE624B" w:rsidRPr="00DE624B" w:rsidRDefault="00DE624B" w:rsidP="00DE624B">
      <w:pPr>
        <w:rPr>
          <w:b/>
        </w:rPr>
      </w:pPr>
    </w:p>
    <w:p w14:paraId="2B002F61" w14:textId="77777777" w:rsidR="00076535" w:rsidRPr="00DE624B" w:rsidRDefault="00076535" w:rsidP="00DE624B">
      <w:pPr>
        <w:pStyle w:val="BodyText"/>
      </w:pPr>
      <w:r w:rsidRPr="00DE624B">
        <w:rPr>
          <w:b/>
          <w:bCs/>
          <w:color w:val="000000"/>
          <w:shd w:val="clear" w:color="auto" w:fill="FFFFFF"/>
        </w:rPr>
        <w:t>Hybrid warfare</w:t>
      </w:r>
      <w:r w:rsidRPr="00DE624B">
        <w:rPr>
          <w:rStyle w:val="apple-converted-space"/>
          <w:color w:val="000000"/>
          <w:shd w:val="clear" w:color="auto" w:fill="FFFFFF"/>
        </w:rPr>
        <w:t> </w:t>
      </w:r>
      <w:r w:rsidRPr="00DE624B">
        <w:rPr>
          <w:color w:val="000000"/>
          <w:shd w:val="clear" w:color="auto" w:fill="FFFFFF"/>
        </w:rPr>
        <w:t>is a</w:t>
      </w:r>
      <w:r w:rsidRPr="00DE624B">
        <w:rPr>
          <w:rStyle w:val="apple-converted-space"/>
          <w:color w:val="000000"/>
          <w:shd w:val="clear" w:color="auto" w:fill="FFFFFF"/>
        </w:rPr>
        <w:t> </w:t>
      </w:r>
      <w:hyperlink r:id="rId16" w:tooltip="Military strategy" w:history="1">
        <w:r w:rsidRPr="00DE624B">
          <w:rPr>
            <w:rStyle w:val="Hyperlink"/>
            <w:color w:val="0B0080"/>
            <w:shd w:val="clear" w:color="auto" w:fill="FFFFFF"/>
          </w:rPr>
          <w:t>military strategy</w:t>
        </w:r>
      </w:hyperlink>
      <w:r w:rsidRPr="00DE624B">
        <w:rPr>
          <w:rStyle w:val="apple-converted-space"/>
          <w:color w:val="000000"/>
          <w:shd w:val="clear" w:color="auto" w:fill="FFFFFF"/>
        </w:rPr>
        <w:t> </w:t>
      </w:r>
      <w:r w:rsidRPr="00DE624B">
        <w:rPr>
          <w:color w:val="000000"/>
          <w:shd w:val="clear" w:color="auto" w:fill="FFFFFF"/>
        </w:rPr>
        <w:t>that blends</w:t>
      </w:r>
      <w:r w:rsidRPr="00DE624B">
        <w:rPr>
          <w:rStyle w:val="apple-converted-space"/>
          <w:color w:val="000000"/>
          <w:shd w:val="clear" w:color="auto" w:fill="FFFFFF"/>
        </w:rPr>
        <w:t> </w:t>
      </w:r>
      <w:hyperlink r:id="rId17" w:tooltip="Conventional warfare" w:history="1">
        <w:r w:rsidRPr="00DE624B">
          <w:rPr>
            <w:rStyle w:val="Hyperlink"/>
            <w:color w:val="0B0080"/>
            <w:shd w:val="clear" w:color="auto" w:fill="FFFFFF"/>
          </w:rPr>
          <w:t>conventional warfare</w:t>
        </w:r>
      </w:hyperlink>
      <w:r w:rsidRPr="00DE624B">
        <w:rPr>
          <w:color w:val="000000"/>
          <w:shd w:val="clear" w:color="auto" w:fill="FFFFFF"/>
        </w:rPr>
        <w:t>,</w:t>
      </w:r>
      <w:r w:rsidRPr="00DE624B">
        <w:rPr>
          <w:rStyle w:val="apple-converted-space"/>
          <w:color w:val="000000"/>
          <w:shd w:val="clear" w:color="auto" w:fill="FFFFFF"/>
        </w:rPr>
        <w:t> </w:t>
      </w:r>
      <w:hyperlink r:id="rId18" w:tooltip="Irregular warfare" w:history="1">
        <w:r w:rsidRPr="00DE624B">
          <w:rPr>
            <w:rStyle w:val="Hyperlink"/>
            <w:color w:val="0B0080"/>
            <w:shd w:val="clear" w:color="auto" w:fill="FFFFFF"/>
          </w:rPr>
          <w:t>irregular warfare</w:t>
        </w:r>
      </w:hyperlink>
      <w:r w:rsidRPr="00DE624B">
        <w:rPr>
          <w:rStyle w:val="apple-converted-space"/>
          <w:color w:val="000000"/>
          <w:shd w:val="clear" w:color="auto" w:fill="FFFFFF"/>
        </w:rPr>
        <w:t> </w:t>
      </w:r>
      <w:r w:rsidRPr="00DE624B">
        <w:rPr>
          <w:color w:val="000000"/>
          <w:shd w:val="clear" w:color="auto" w:fill="FFFFFF"/>
        </w:rPr>
        <w:t>and</w:t>
      </w:r>
      <w:r w:rsidRPr="00DE624B">
        <w:rPr>
          <w:rStyle w:val="apple-converted-space"/>
          <w:color w:val="000000"/>
          <w:shd w:val="clear" w:color="auto" w:fill="FFFFFF"/>
        </w:rPr>
        <w:t> </w:t>
      </w:r>
      <w:hyperlink r:id="rId19" w:tooltip="Cyberwarfare" w:history="1">
        <w:r w:rsidRPr="00DE624B">
          <w:rPr>
            <w:rStyle w:val="Hyperlink"/>
            <w:color w:val="0B0080"/>
            <w:shd w:val="clear" w:color="auto" w:fill="FFFFFF"/>
          </w:rPr>
          <w:t>cyberwarfare</w:t>
        </w:r>
      </w:hyperlink>
      <w:r w:rsidRPr="00DE624B">
        <w:rPr>
          <w:color w:val="000000"/>
          <w:shd w:val="clear" w:color="auto" w:fill="FFFFFF"/>
        </w:rPr>
        <w:t>.</w:t>
      </w:r>
      <w:hyperlink r:id="rId20" w:anchor="cite_note-nextgov-1" w:history="1">
        <w:r w:rsidRPr="00DE624B">
          <w:rPr>
            <w:rStyle w:val="Hyperlink"/>
            <w:color w:val="0B0080"/>
            <w:shd w:val="clear" w:color="auto" w:fill="FFFFFF"/>
            <w:vertAlign w:val="superscript"/>
          </w:rPr>
          <w:t>[1]</w:t>
        </w:r>
      </w:hyperlink>
      <w:r w:rsidRPr="00DE624B">
        <w:rPr>
          <w:rStyle w:val="apple-converted-space"/>
          <w:color w:val="000000"/>
          <w:shd w:val="clear" w:color="auto" w:fill="FFFFFF"/>
        </w:rPr>
        <w:t> </w:t>
      </w:r>
      <w:r w:rsidRPr="00DE624B">
        <w:rPr>
          <w:color w:val="000000"/>
          <w:shd w:val="clear" w:color="auto" w:fill="FFFFFF"/>
        </w:rPr>
        <w:t>In addition, hybrid warfare is used to describe attacks by</w:t>
      </w:r>
      <w:r w:rsidRPr="00DE624B">
        <w:rPr>
          <w:rStyle w:val="apple-converted-space"/>
          <w:color w:val="000000"/>
          <w:shd w:val="clear" w:color="auto" w:fill="FFFFFF"/>
        </w:rPr>
        <w:t> </w:t>
      </w:r>
      <w:hyperlink r:id="rId21" w:tooltip="Nuclear warfare" w:history="1">
        <w:r w:rsidRPr="00DE624B">
          <w:rPr>
            <w:rStyle w:val="Hyperlink"/>
            <w:color w:val="0B0080"/>
            <w:shd w:val="clear" w:color="auto" w:fill="FFFFFF"/>
          </w:rPr>
          <w:t>nuclear</w:t>
        </w:r>
      </w:hyperlink>
      <w:r w:rsidRPr="00DE624B">
        <w:rPr>
          <w:color w:val="000000"/>
          <w:shd w:val="clear" w:color="auto" w:fill="FFFFFF"/>
        </w:rPr>
        <w:t>,</w:t>
      </w:r>
      <w:r w:rsidRPr="00DE624B">
        <w:rPr>
          <w:rStyle w:val="apple-converted-space"/>
          <w:color w:val="000000"/>
          <w:shd w:val="clear" w:color="auto" w:fill="FFFFFF"/>
        </w:rPr>
        <w:t> </w:t>
      </w:r>
      <w:hyperlink r:id="rId22" w:tooltip="Biological warfare" w:history="1">
        <w:r w:rsidRPr="00DE624B">
          <w:rPr>
            <w:rStyle w:val="Hyperlink"/>
            <w:color w:val="0B0080"/>
            <w:shd w:val="clear" w:color="auto" w:fill="FFFFFF"/>
          </w:rPr>
          <w:t>biological</w:t>
        </w:r>
      </w:hyperlink>
      <w:r w:rsidRPr="00DE624B">
        <w:rPr>
          <w:rStyle w:val="apple-converted-space"/>
          <w:color w:val="000000"/>
          <w:shd w:val="clear" w:color="auto" w:fill="FFFFFF"/>
        </w:rPr>
        <w:t> </w:t>
      </w:r>
      <w:r w:rsidRPr="00DE624B">
        <w:rPr>
          <w:color w:val="000000"/>
          <w:shd w:val="clear" w:color="auto" w:fill="FFFFFF"/>
        </w:rPr>
        <w:t>and</w:t>
      </w:r>
      <w:r w:rsidRPr="00DE624B">
        <w:rPr>
          <w:rStyle w:val="apple-converted-space"/>
          <w:color w:val="000000"/>
          <w:shd w:val="clear" w:color="auto" w:fill="FFFFFF"/>
        </w:rPr>
        <w:t> </w:t>
      </w:r>
      <w:hyperlink r:id="rId23" w:tooltip="Chemical warfare" w:history="1">
        <w:r w:rsidRPr="00DE624B">
          <w:rPr>
            <w:rStyle w:val="Hyperlink"/>
            <w:color w:val="0B0080"/>
            <w:shd w:val="clear" w:color="auto" w:fill="FFFFFF"/>
          </w:rPr>
          <w:t>chemical</w:t>
        </w:r>
      </w:hyperlink>
      <w:r w:rsidRPr="00DE624B">
        <w:rPr>
          <w:rStyle w:val="apple-converted-space"/>
          <w:color w:val="000000"/>
          <w:shd w:val="clear" w:color="auto" w:fill="FFFFFF"/>
        </w:rPr>
        <w:t> </w:t>
      </w:r>
      <w:hyperlink r:id="rId24" w:tooltip="Weapon" w:history="1">
        <w:r w:rsidRPr="00DE624B">
          <w:rPr>
            <w:rStyle w:val="Hyperlink"/>
            <w:color w:val="0B0080"/>
            <w:shd w:val="clear" w:color="auto" w:fill="FFFFFF"/>
          </w:rPr>
          <w:t>weapons</w:t>
        </w:r>
      </w:hyperlink>
      <w:r w:rsidRPr="00DE624B">
        <w:rPr>
          <w:color w:val="000000"/>
          <w:shd w:val="clear" w:color="auto" w:fill="FFFFFF"/>
        </w:rPr>
        <w:t>,</w:t>
      </w:r>
      <w:r w:rsidRPr="00DE624B">
        <w:rPr>
          <w:rStyle w:val="apple-converted-space"/>
          <w:color w:val="000000"/>
          <w:shd w:val="clear" w:color="auto" w:fill="FFFFFF"/>
        </w:rPr>
        <w:t> </w:t>
      </w:r>
      <w:hyperlink r:id="rId25" w:tooltip="Improvised explosive device" w:history="1">
        <w:r w:rsidRPr="00DE624B">
          <w:rPr>
            <w:rStyle w:val="Hyperlink"/>
            <w:color w:val="0B0080"/>
            <w:shd w:val="clear" w:color="auto" w:fill="FFFFFF"/>
          </w:rPr>
          <w:t>improvised explosive devices</w:t>
        </w:r>
      </w:hyperlink>
      <w:r w:rsidRPr="00DE624B">
        <w:rPr>
          <w:rStyle w:val="apple-converted-space"/>
          <w:color w:val="000000"/>
          <w:shd w:val="clear" w:color="auto" w:fill="FFFFFF"/>
        </w:rPr>
        <w:t> </w:t>
      </w:r>
      <w:r w:rsidRPr="00DE624B">
        <w:rPr>
          <w:color w:val="000000"/>
          <w:shd w:val="clear" w:color="auto" w:fill="FFFFFF"/>
        </w:rPr>
        <w:t>and</w:t>
      </w:r>
      <w:r w:rsidRPr="00DE624B">
        <w:rPr>
          <w:rStyle w:val="apple-converted-space"/>
          <w:color w:val="000000"/>
          <w:shd w:val="clear" w:color="auto" w:fill="FFFFFF"/>
        </w:rPr>
        <w:t> </w:t>
      </w:r>
      <w:hyperlink r:id="rId26" w:tooltip="Information warfare" w:history="1">
        <w:r w:rsidRPr="00DE624B">
          <w:rPr>
            <w:rStyle w:val="Hyperlink"/>
            <w:color w:val="0B0080"/>
            <w:shd w:val="clear" w:color="auto" w:fill="FFFFFF"/>
          </w:rPr>
          <w:t>information warfare</w:t>
        </w:r>
      </w:hyperlink>
      <w:r w:rsidRPr="00DE624B">
        <w:rPr>
          <w:color w:val="000000"/>
          <w:shd w:val="clear" w:color="auto" w:fill="FFFFFF"/>
        </w:rPr>
        <w:t>.</w:t>
      </w:r>
      <w:hyperlink r:id="rId27" w:anchor="cite_note-Information_Week_Government-2" w:history="1">
        <w:r w:rsidRPr="00DE624B">
          <w:rPr>
            <w:rStyle w:val="Hyperlink"/>
            <w:color w:val="0B0080"/>
            <w:shd w:val="clear" w:color="auto" w:fill="FFFFFF"/>
            <w:vertAlign w:val="superscript"/>
          </w:rPr>
          <w:t>[2]</w:t>
        </w:r>
      </w:hyperlink>
      <w:r w:rsidRPr="00DE624B">
        <w:rPr>
          <w:rStyle w:val="apple-converted-space"/>
          <w:color w:val="000000"/>
          <w:shd w:val="clear" w:color="auto" w:fill="FFFFFF"/>
        </w:rPr>
        <w:t> </w:t>
      </w:r>
      <w:r w:rsidRPr="00DE624B">
        <w:rPr>
          <w:color w:val="000000"/>
          <w:shd w:val="clear" w:color="auto" w:fill="FFFFFF"/>
        </w:rPr>
        <w:t>This approach to</w:t>
      </w:r>
      <w:r w:rsidRPr="00DE624B">
        <w:rPr>
          <w:rStyle w:val="apple-converted-space"/>
          <w:color w:val="000000"/>
          <w:shd w:val="clear" w:color="auto" w:fill="FFFFFF"/>
        </w:rPr>
        <w:t> </w:t>
      </w:r>
      <w:hyperlink r:id="rId28" w:tooltip="War" w:history="1">
        <w:r w:rsidRPr="00DE624B">
          <w:rPr>
            <w:rStyle w:val="Hyperlink"/>
            <w:color w:val="0B0080"/>
            <w:shd w:val="clear" w:color="auto" w:fill="FFFFFF"/>
          </w:rPr>
          <w:t>conflicts</w:t>
        </w:r>
      </w:hyperlink>
      <w:r w:rsidRPr="00DE624B">
        <w:rPr>
          <w:color w:val="000000"/>
          <w:shd w:val="clear" w:color="auto" w:fill="FFFFFF"/>
        </w:rPr>
        <w:t xml:space="preserve">, is a potent, complex variation </w:t>
      </w:r>
      <w:proofErr w:type="spellStart"/>
      <w:r w:rsidRPr="00DE624B">
        <w:rPr>
          <w:color w:val="000000"/>
          <w:shd w:val="clear" w:color="auto" w:fill="FFFFFF"/>
        </w:rPr>
        <w:t>of</w:t>
      </w:r>
      <w:hyperlink r:id="rId29" w:tooltip="Warfare" w:history="1">
        <w:r w:rsidRPr="00DE624B">
          <w:rPr>
            <w:rStyle w:val="Hyperlink"/>
            <w:color w:val="0B0080"/>
            <w:shd w:val="clear" w:color="auto" w:fill="FFFFFF"/>
          </w:rPr>
          <w:t>warfare</w:t>
        </w:r>
        <w:proofErr w:type="spellEnd"/>
      </w:hyperlink>
      <w:r w:rsidRPr="00DE624B">
        <w:rPr>
          <w:color w:val="000000"/>
          <w:shd w:val="clear" w:color="auto" w:fill="FFFFFF"/>
        </w:rPr>
        <w:t>.</w:t>
      </w:r>
      <w:hyperlink r:id="rId30" w:anchor="cite_note-3" w:history="1">
        <w:r w:rsidRPr="00DE624B">
          <w:rPr>
            <w:rStyle w:val="Hyperlink"/>
            <w:color w:val="0B0080"/>
            <w:shd w:val="clear" w:color="auto" w:fill="FFFFFF"/>
            <w:vertAlign w:val="superscript"/>
          </w:rPr>
          <w:t>[3]</w:t>
        </w:r>
      </w:hyperlink>
      <w:r w:rsidRPr="00DE624B">
        <w:rPr>
          <w:rStyle w:val="apple-converted-space"/>
          <w:color w:val="000000"/>
          <w:shd w:val="clear" w:color="auto" w:fill="FFFFFF"/>
        </w:rPr>
        <w:t> </w:t>
      </w:r>
      <w:r w:rsidRPr="00DE624B">
        <w:rPr>
          <w:color w:val="000000"/>
          <w:shd w:val="clear" w:color="auto" w:fill="FFFFFF"/>
        </w:rPr>
        <w:t>Hybrid warfare can be used to describe the flexible and complex dynamics of the</w:t>
      </w:r>
      <w:r w:rsidRPr="00DE624B">
        <w:rPr>
          <w:rStyle w:val="apple-converted-space"/>
          <w:color w:val="000000"/>
          <w:shd w:val="clear" w:color="auto" w:fill="FFFFFF"/>
        </w:rPr>
        <w:t> </w:t>
      </w:r>
      <w:proofErr w:type="spellStart"/>
      <w:r w:rsidRPr="00DE624B">
        <w:fldChar w:fldCharType="begin"/>
      </w:r>
      <w:r w:rsidRPr="00DE624B">
        <w:instrText xml:space="preserve"> HYPERLINK "http://en.wikipedia.org/wiki/Battlespace" \o "Battlespace" </w:instrText>
      </w:r>
      <w:r w:rsidRPr="00DE624B">
        <w:fldChar w:fldCharType="separate"/>
      </w:r>
      <w:r w:rsidRPr="00DE624B">
        <w:rPr>
          <w:rStyle w:val="Hyperlink"/>
          <w:color w:val="0B0080"/>
          <w:shd w:val="clear" w:color="auto" w:fill="FFFFFF"/>
        </w:rPr>
        <w:t>battlespace</w:t>
      </w:r>
      <w:r w:rsidRPr="00DE624B">
        <w:fldChar w:fldCharType="end"/>
      </w:r>
      <w:r w:rsidRPr="00DE624B">
        <w:rPr>
          <w:color w:val="000000"/>
          <w:shd w:val="clear" w:color="auto" w:fill="FFFFFF"/>
        </w:rPr>
        <w:t>requiring</w:t>
      </w:r>
      <w:proofErr w:type="spellEnd"/>
      <w:r w:rsidRPr="00DE624B">
        <w:rPr>
          <w:color w:val="000000"/>
          <w:shd w:val="clear" w:color="auto" w:fill="FFFFFF"/>
        </w:rPr>
        <w:t xml:space="preserve"> a highly adaptable and resilient response.</w:t>
      </w:r>
      <w:hyperlink r:id="rId31" w:anchor="cite_note-nextgov-1" w:history="1">
        <w:r w:rsidRPr="00DE624B">
          <w:rPr>
            <w:rStyle w:val="Hyperlink"/>
            <w:color w:val="0B0080"/>
            <w:shd w:val="clear" w:color="auto" w:fill="FFFFFF"/>
            <w:vertAlign w:val="superscript"/>
          </w:rPr>
          <w:t>[1]</w:t>
        </w:r>
      </w:hyperlink>
      <w:hyperlink r:id="rId32" w:anchor="cite_note-Information_Week_Government-2" w:history="1">
        <w:r w:rsidRPr="00DE624B">
          <w:rPr>
            <w:rStyle w:val="Hyperlink"/>
            <w:color w:val="0B0080"/>
            <w:shd w:val="clear" w:color="auto" w:fill="FFFFFF"/>
            <w:vertAlign w:val="superscript"/>
          </w:rPr>
          <w:t>[2]</w:t>
        </w:r>
      </w:hyperlink>
    </w:p>
    <w:p w14:paraId="2B002F62" w14:textId="77777777" w:rsidR="00076535" w:rsidRPr="00DE624B" w:rsidRDefault="00076535" w:rsidP="00DE624B">
      <w:pPr>
        <w:pStyle w:val="NormalWeb"/>
        <w:shd w:val="clear" w:color="auto" w:fill="FFFFFF"/>
        <w:spacing w:before="96" w:after="120"/>
        <w:rPr>
          <w:color w:val="000000"/>
        </w:rPr>
      </w:pPr>
      <w:r w:rsidRPr="00DE624B">
        <w:rPr>
          <w:color w:val="000000"/>
        </w:rPr>
        <w:t>Probably the most recent example of hybrid warfare would be that of the performance of</w:t>
      </w:r>
      <w:r w:rsidRPr="00DE624B">
        <w:rPr>
          <w:rStyle w:val="apple-converted-space"/>
          <w:color w:val="000000"/>
        </w:rPr>
        <w:t> </w:t>
      </w:r>
      <w:hyperlink r:id="rId33" w:tooltip="Hezbollah" w:history="1">
        <w:r w:rsidRPr="00DE624B">
          <w:rPr>
            <w:rStyle w:val="Hyperlink"/>
            <w:color w:val="0B0080"/>
          </w:rPr>
          <w:t>Hezbollah</w:t>
        </w:r>
      </w:hyperlink>
      <w:r w:rsidRPr="00DE624B">
        <w:rPr>
          <w:rStyle w:val="apple-converted-space"/>
          <w:color w:val="000000"/>
        </w:rPr>
        <w:t> </w:t>
      </w:r>
      <w:r w:rsidRPr="00DE624B">
        <w:rPr>
          <w:color w:val="000000"/>
        </w:rPr>
        <w:t>in the 2006 Lebanon War. During this conflict, Hezbollah fought the Israeli military to a standstill by engaging them from either concealed, fixed positions and underground tunnel complexes (emulating the</w:t>
      </w:r>
      <w:r w:rsidRPr="00DE624B">
        <w:rPr>
          <w:rStyle w:val="apple-converted-space"/>
          <w:color w:val="000000"/>
        </w:rPr>
        <w:t> </w:t>
      </w:r>
      <w:hyperlink r:id="rId34" w:tooltip="Viet Cong" w:history="1">
        <w:r w:rsidRPr="00DE624B">
          <w:rPr>
            <w:rStyle w:val="Hyperlink"/>
            <w:color w:val="0B0080"/>
          </w:rPr>
          <w:t>Viet Cong</w:t>
        </w:r>
      </w:hyperlink>
      <w:r w:rsidRPr="00DE624B">
        <w:rPr>
          <w:color w:val="000000"/>
        </w:rPr>
        <w:t>) or by conventional infantry combat maneuvers in Lebanese villages. The outcome of these tactics were that the</w:t>
      </w:r>
      <w:r w:rsidRPr="00DE624B">
        <w:rPr>
          <w:rStyle w:val="apple-converted-space"/>
          <w:color w:val="000000"/>
        </w:rPr>
        <w:t> </w:t>
      </w:r>
      <w:hyperlink r:id="rId35" w:tooltip="Israel Defense Forces" w:history="1">
        <w:r w:rsidRPr="00DE624B">
          <w:rPr>
            <w:rStyle w:val="Hyperlink"/>
            <w:color w:val="0B0080"/>
          </w:rPr>
          <w:t>Israel Defense Forces</w:t>
        </w:r>
      </w:hyperlink>
      <w:r w:rsidRPr="00DE624B">
        <w:rPr>
          <w:rStyle w:val="apple-converted-space"/>
          <w:color w:val="000000"/>
        </w:rPr>
        <w:t> </w:t>
      </w:r>
      <w:r w:rsidRPr="00DE624B">
        <w:rPr>
          <w:color w:val="000000"/>
        </w:rPr>
        <w:t xml:space="preserve">failed to conquer a single village along by the Israel-Lebanon border, in the time of its two-week ground assault on Hezbollah. Israel's greatest strengths, namely having a modern and capable </w:t>
      </w:r>
      <w:proofErr w:type="spellStart"/>
      <w:r w:rsidRPr="00DE624B">
        <w:rPr>
          <w:color w:val="000000"/>
        </w:rPr>
        <w:t>armoured</w:t>
      </w:r>
      <w:proofErr w:type="spellEnd"/>
      <w:r w:rsidRPr="00DE624B">
        <w:rPr>
          <w:color w:val="000000"/>
        </w:rPr>
        <w:t xml:space="preserve"> corps and air force, were nullified by Hezbollah fighters utilizing hardened bunkers and modern Russian ATGMs, capable of destroying any known type of </w:t>
      </w:r>
      <w:proofErr w:type="spellStart"/>
      <w:r w:rsidRPr="00DE624B">
        <w:rPr>
          <w:color w:val="000000"/>
        </w:rPr>
        <w:t>armoured</w:t>
      </w:r>
      <w:proofErr w:type="spellEnd"/>
      <w:r w:rsidRPr="00DE624B">
        <w:rPr>
          <w:color w:val="000000"/>
        </w:rPr>
        <w:t xml:space="preserve"> vehicle. At one point, Hezbollah utilized an anti-shipping cruise missile,</w:t>
      </w:r>
      <w:r w:rsidRPr="00DE624B">
        <w:rPr>
          <w:rStyle w:val="apple-converted-space"/>
          <w:color w:val="000000"/>
        </w:rPr>
        <w:t> </w:t>
      </w:r>
      <w:hyperlink r:id="rId36" w:tooltip="C-802" w:history="1">
        <w:r w:rsidRPr="00DE624B">
          <w:rPr>
            <w:rStyle w:val="Hyperlink"/>
            <w:color w:val="0B0080"/>
          </w:rPr>
          <w:t>C-802</w:t>
        </w:r>
      </w:hyperlink>
      <w:r w:rsidRPr="00DE624B">
        <w:rPr>
          <w:color w:val="000000"/>
        </w:rPr>
        <w:t>, to severely damage the corvette INS Hanit and kill four Israeli sailors on board.</w:t>
      </w:r>
    </w:p>
    <w:p w14:paraId="2B002F63" w14:textId="77777777" w:rsidR="00076535" w:rsidRPr="00DE624B" w:rsidRDefault="00076535" w:rsidP="00DE624B">
      <w:pPr>
        <w:pStyle w:val="NormalWeb"/>
        <w:shd w:val="clear" w:color="auto" w:fill="FFFFFF"/>
        <w:spacing w:before="96" w:after="120"/>
        <w:rPr>
          <w:color w:val="000000"/>
        </w:rPr>
      </w:pPr>
      <w:r w:rsidRPr="00DE624B">
        <w:rPr>
          <w:color w:val="000000"/>
        </w:rPr>
        <w:t>This was combined by Hezbollah succeeding in hacking into Israeli communication and Israeli soldiers' mobile phones to receive first-hand knowledge about enemy troop movements, communications and casualties.</w:t>
      </w:r>
    </w:p>
    <w:p w14:paraId="2B002F64" w14:textId="77777777" w:rsidR="009C79C0" w:rsidRPr="00DE624B" w:rsidRDefault="00A32027" w:rsidP="00DE624B">
      <w:pPr>
        <w:pStyle w:val="BodyText"/>
      </w:pPr>
      <w:r w:rsidRPr="00DE624B">
        <w:t xml:space="preserve">In order to develop valued capability concepts and products, we must first and foremost keep the CASCOM team inherently tied to and synchronized with all its customers and other key operational energy </w:t>
      </w:r>
      <w:r w:rsidR="00DD601E" w:rsidRPr="00DE624B">
        <w:t>stakeholders</w:t>
      </w:r>
      <w:r w:rsidRPr="00DE624B">
        <w:t xml:space="preserve">. </w:t>
      </w:r>
      <w:r w:rsidR="00B81F63" w:rsidRPr="00DE624B">
        <w:t>Thus</w:t>
      </w:r>
      <w:r w:rsidR="00DD601E" w:rsidRPr="00DE624B">
        <w:t>,</w:t>
      </w:r>
      <w:r w:rsidR="00B81F63" w:rsidRPr="00DE624B">
        <w:t xml:space="preserve"> the </w:t>
      </w:r>
      <w:r w:rsidR="00FB1D19" w:rsidRPr="00DE624B">
        <w:t>Acme</w:t>
      </w:r>
      <w:r w:rsidR="00B81F63" w:rsidRPr="00DE624B">
        <w:t xml:space="preserve"> OE team will be present for all </w:t>
      </w:r>
      <w:r w:rsidR="00DC35F5" w:rsidRPr="00DE624B">
        <w:t>OE-</w:t>
      </w:r>
      <w:r w:rsidR="00B81F63" w:rsidRPr="00DE624B">
        <w:t xml:space="preserve">related forums to include conference calls, </w:t>
      </w:r>
      <w:r w:rsidR="00DD601E" w:rsidRPr="00DE624B">
        <w:t>Video Teleconferencing (</w:t>
      </w:r>
      <w:r w:rsidR="00B81F63" w:rsidRPr="00DE624B">
        <w:t>VTC</w:t>
      </w:r>
      <w:r w:rsidR="00DD601E" w:rsidRPr="00DE624B">
        <w:t>)</w:t>
      </w:r>
      <w:r w:rsidR="00B81F63" w:rsidRPr="00DE624B">
        <w:t>, and other meetings that require CASCOM participation.</w:t>
      </w:r>
      <w:r w:rsidR="00EB488E" w:rsidRPr="00DE624B">
        <w:t xml:space="preserve"> We currently support similar meetings </w:t>
      </w:r>
      <w:r w:rsidR="00F67021" w:rsidRPr="00DE624B">
        <w:t xml:space="preserve">at the Pentagon, </w:t>
      </w:r>
      <w:r w:rsidR="00BA3986" w:rsidRPr="00DE624B">
        <w:t xml:space="preserve">U.S. Army Training and Doctrine Command </w:t>
      </w:r>
      <w:r w:rsidR="00DD601E" w:rsidRPr="00DE624B">
        <w:t>(</w:t>
      </w:r>
      <w:r w:rsidR="00EB488E" w:rsidRPr="00DE624B">
        <w:t>TRADOC</w:t>
      </w:r>
      <w:r w:rsidR="00DD601E" w:rsidRPr="00DE624B">
        <w:t>)</w:t>
      </w:r>
      <w:r w:rsidR="00F67021" w:rsidRPr="00DE624B">
        <w:t xml:space="preserve">, CAC, </w:t>
      </w:r>
      <w:r w:rsidR="00EB488E" w:rsidRPr="00DE624B">
        <w:t>ARCIC</w:t>
      </w:r>
      <w:r w:rsidR="00F67021" w:rsidRPr="00DE624B">
        <w:t>, and</w:t>
      </w:r>
      <w:r w:rsidR="00DD601E" w:rsidRPr="00DE624B">
        <w:t xml:space="preserve"> Research, Development, and Engineering Command (</w:t>
      </w:r>
      <w:r w:rsidR="00F67021" w:rsidRPr="00DE624B">
        <w:t>RDECOM</w:t>
      </w:r>
      <w:r w:rsidR="00DD601E" w:rsidRPr="00DE624B">
        <w:t>)</w:t>
      </w:r>
      <w:r w:rsidR="00EB488E" w:rsidRPr="00DE624B">
        <w:t>.</w:t>
      </w:r>
      <w:r w:rsidR="00D62ECF" w:rsidRPr="00DE624B">
        <w:t xml:space="preserve"> </w:t>
      </w:r>
    </w:p>
    <w:p w14:paraId="2B002F65" w14:textId="77777777" w:rsidR="00EB488E" w:rsidRDefault="00EB488E" w:rsidP="00DE624B">
      <w:r w:rsidRPr="00DE624B">
        <w:t xml:space="preserve">We proactively support our clients in improving stakeholder engagement through such meetings and forums including the Operational Energy Working Group, </w:t>
      </w:r>
      <w:r w:rsidR="009C52AF" w:rsidRPr="00DE624B">
        <w:t xml:space="preserve">conferences, </w:t>
      </w:r>
      <w:r w:rsidRPr="00DE624B">
        <w:t>VTCs, conference call</w:t>
      </w:r>
      <w:r w:rsidR="00BA3986" w:rsidRPr="00DE624B">
        <w:t>s</w:t>
      </w:r>
      <w:r w:rsidRPr="00DE624B">
        <w:t>, interagency meetings, and site visits to technologies, labs, and installations</w:t>
      </w:r>
      <w:r w:rsidR="00581D32" w:rsidRPr="00DE624B">
        <w:t xml:space="preserve"> both in CONUS and in theater</w:t>
      </w:r>
      <w:r w:rsidRPr="00DE624B">
        <w:t>.</w:t>
      </w:r>
      <w:r w:rsidR="00D62ECF" w:rsidRPr="00DE624B">
        <w:t xml:space="preserve"> </w:t>
      </w:r>
      <w:r w:rsidRPr="00DE624B">
        <w:t xml:space="preserve">We bring a keen sense from the Defense community at large that is relevant or interested in </w:t>
      </w:r>
      <w:r w:rsidR="00DC35F5" w:rsidRPr="00DE624B">
        <w:t>OE</w:t>
      </w:r>
      <w:r w:rsidRPr="00DE624B">
        <w:t xml:space="preserve"> to best position CASCOM a</w:t>
      </w:r>
      <w:r w:rsidR="00F67021" w:rsidRPr="00DE624B">
        <w:t>s a</w:t>
      </w:r>
      <w:r w:rsidRPr="00DE624B">
        <w:t xml:space="preserve"> though</w:t>
      </w:r>
      <w:r w:rsidR="00F67021" w:rsidRPr="00DE624B">
        <w:t>t leader and value-</w:t>
      </w:r>
      <w:r w:rsidRPr="00DE624B">
        <w:t xml:space="preserve">added partner for developing the </w:t>
      </w:r>
      <w:r w:rsidR="00F67021" w:rsidRPr="00DE624B">
        <w:t>Army’s</w:t>
      </w:r>
      <w:r w:rsidRPr="00DE624B">
        <w:t xml:space="preserve"> OE</w:t>
      </w:r>
      <w:r w:rsidR="00F67021" w:rsidRPr="00DE624B">
        <w:t xml:space="preserve"> capabilities</w:t>
      </w:r>
      <w:r w:rsidRPr="00DE624B">
        <w:t xml:space="preserve">. </w:t>
      </w:r>
      <w:r w:rsidR="00005266" w:rsidRPr="00DE624B">
        <w:t>We understand the Army planning, capability development, and staffing processes requir</w:t>
      </w:r>
      <w:r w:rsidR="00581D32" w:rsidRPr="00DE624B">
        <w:t>e</w:t>
      </w:r>
      <w:r w:rsidR="00005266" w:rsidRPr="00DE624B">
        <w:t xml:space="preserve"> active participation, </w:t>
      </w:r>
      <w:r w:rsidR="00C47A1D" w:rsidRPr="00DE624B">
        <w:t xml:space="preserve">administrative support, tracking and completing tasks, and milestone analysis to ensure strategic plans are on schedule. Administrative tasks can include updating stakeholder analysis, </w:t>
      </w:r>
      <w:r w:rsidR="00DD601E" w:rsidRPr="00DE624B">
        <w:t>Point of Contact (</w:t>
      </w:r>
      <w:r w:rsidR="00C47A1D" w:rsidRPr="00DE624B">
        <w:t>POC</w:t>
      </w:r>
      <w:r w:rsidR="00DD601E" w:rsidRPr="00DE624B">
        <w:t>)</w:t>
      </w:r>
      <w:r w:rsidR="00C47A1D" w:rsidRPr="00DE624B">
        <w:t xml:space="preserve"> lists, attendance confirmations, </w:t>
      </w:r>
      <w:r w:rsidR="00DD601E" w:rsidRPr="00DE624B">
        <w:t>Audio-Visual (</w:t>
      </w:r>
      <w:r w:rsidR="00C47A1D" w:rsidRPr="00DE624B">
        <w:t>AV</w:t>
      </w:r>
      <w:r w:rsidR="00DD601E" w:rsidRPr="00DE624B">
        <w:t>)</w:t>
      </w:r>
      <w:r w:rsidR="00C47A1D" w:rsidRPr="00DE624B">
        <w:t xml:space="preserve"> and tech support, printing, and follow up </w:t>
      </w:r>
      <w:r w:rsidR="00DD601E" w:rsidRPr="00DE624B">
        <w:t>due-</w:t>
      </w:r>
      <w:r w:rsidR="00C47A1D" w:rsidRPr="00DE624B">
        <w:t xml:space="preserve">outs or specific tasks. </w:t>
      </w:r>
      <w:r w:rsidR="002844CE" w:rsidRPr="00DE624B">
        <w:t xml:space="preserve">Outputs can include </w:t>
      </w:r>
      <w:r w:rsidR="009C79C0" w:rsidRPr="00DE624B">
        <w:t>Interface Control Documents (</w:t>
      </w:r>
      <w:r w:rsidR="002844CE" w:rsidRPr="00DE624B">
        <w:t>ICD</w:t>
      </w:r>
      <w:r w:rsidR="00DD601E" w:rsidRPr="00DE624B">
        <w:t>)</w:t>
      </w:r>
      <w:r w:rsidR="002844CE" w:rsidRPr="00DE624B">
        <w:t xml:space="preserve"> and </w:t>
      </w:r>
      <w:r w:rsidR="009C79C0" w:rsidRPr="00DE624B">
        <w:t xml:space="preserve">Capability Development Documents </w:t>
      </w:r>
      <w:r w:rsidR="00DD601E" w:rsidRPr="00DE624B">
        <w:t>(</w:t>
      </w:r>
      <w:r w:rsidR="009C79C0" w:rsidRPr="00DE624B">
        <w:t>CDD</w:t>
      </w:r>
      <w:r w:rsidR="00DD601E" w:rsidRPr="00DE624B">
        <w:t>)</w:t>
      </w:r>
      <w:r w:rsidR="002844CE" w:rsidRPr="00DE624B">
        <w:t>.</w:t>
      </w:r>
    </w:p>
    <w:p w14:paraId="156117CF" w14:textId="77777777" w:rsidR="00D05B8C" w:rsidRPr="00DE624B" w:rsidRDefault="00D05B8C" w:rsidP="00DE624B"/>
    <w:p w14:paraId="4D56793E" w14:textId="77777777" w:rsidR="00D05B8C" w:rsidRDefault="004A6F15" w:rsidP="00DE624B">
      <w:r w:rsidRPr="00DE624B">
        <w:t xml:space="preserve">Army and Joint logistics </w:t>
      </w:r>
      <w:r w:rsidR="00585A80" w:rsidRPr="00DE624B">
        <w:t xml:space="preserve">and operations </w:t>
      </w:r>
      <w:r w:rsidRPr="00DE624B">
        <w:t xml:space="preserve">doctrine has been the </w:t>
      </w:r>
      <w:r w:rsidR="00585A80" w:rsidRPr="00DE624B">
        <w:t>“</w:t>
      </w:r>
      <w:r w:rsidRPr="00DE624B">
        <w:t>lens</w:t>
      </w:r>
      <w:r w:rsidR="00585A80" w:rsidRPr="00DE624B">
        <w:t>”</w:t>
      </w:r>
      <w:r w:rsidRPr="00DE624B">
        <w:t xml:space="preserve"> </w:t>
      </w:r>
      <w:r w:rsidR="003406F9" w:rsidRPr="00DE624B">
        <w:t>we use</w:t>
      </w:r>
      <w:r w:rsidRPr="00DE624B">
        <w:t xml:space="preserve"> in </w:t>
      </w:r>
      <w:r w:rsidR="00DC35F5" w:rsidRPr="00DE624B">
        <w:t xml:space="preserve">viewing </w:t>
      </w:r>
      <w:r w:rsidRPr="00DE624B">
        <w:t xml:space="preserve">OE </w:t>
      </w:r>
      <w:r w:rsidR="00585A80" w:rsidRPr="00DE624B">
        <w:t>since</w:t>
      </w:r>
      <w:r w:rsidRPr="00DE624B">
        <w:t xml:space="preserve"> the beginning.</w:t>
      </w:r>
      <w:r w:rsidR="008B65D8" w:rsidRPr="00DE624B">
        <w:t xml:space="preserve"> </w:t>
      </w:r>
      <w:r w:rsidRPr="00DE624B">
        <w:t xml:space="preserve">For this reason, we closely support the Army G4 in our current OE efforts and always </w:t>
      </w:r>
      <w:r w:rsidRPr="00DE624B">
        <w:lastRenderedPageBreak/>
        <w:t xml:space="preserve">coordinate primarily with the Commander for logistics in any exercise or AOR that we’re involved in. </w:t>
      </w:r>
      <w:r w:rsidR="00702F61" w:rsidRPr="00DE624B">
        <w:t xml:space="preserve">We </w:t>
      </w:r>
      <w:r w:rsidR="00B72F24" w:rsidRPr="00DE624B">
        <w:t xml:space="preserve">have significant experience in full spectrum logistics and </w:t>
      </w:r>
      <w:r w:rsidR="00702F61" w:rsidRPr="00DE624B">
        <w:t xml:space="preserve">are demonstrating our thorough understanding of the Army and </w:t>
      </w:r>
      <w:r w:rsidR="00D23109" w:rsidRPr="00DE624B">
        <w:t>J</w:t>
      </w:r>
      <w:r w:rsidR="00702F61" w:rsidRPr="00DE624B">
        <w:t xml:space="preserve">oint logistics operations framework via our </w:t>
      </w:r>
      <w:r w:rsidR="00801821" w:rsidRPr="00DE624B">
        <w:t>contract work in executing the R</w:t>
      </w:r>
      <w:r w:rsidR="00702F61" w:rsidRPr="00DE624B">
        <w:t xml:space="preserve">apid Equipping Force </w:t>
      </w:r>
      <w:r w:rsidR="00585A80" w:rsidRPr="00DE624B">
        <w:t>“</w:t>
      </w:r>
      <w:r w:rsidR="00702F61" w:rsidRPr="00DE624B">
        <w:t>Energy to the Edge</w:t>
      </w:r>
      <w:r w:rsidR="00585A80" w:rsidRPr="00DE624B">
        <w:t>” p</w:t>
      </w:r>
      <w:r w:rsidR="00801821" w:rsidRPr="00DE624B">
        <w:t>rogram</w:t>
      </w:r>
      <w:r w:rsidR="00B72F24" w:rsidRPr="00DE624B">
        <w:t xml:space="preserve"> in several Army operational environments abroad</w:t>
      </w:r>
      <w:r w:rsidR="008B65D8" w:rsidRPr="00DE624B">
        <w:t>,</w:t>
      </w:r>
      <w:r w:rsidR="00B72F24" w:rsidRPr="00DE624B">
        <w:t xml:space="preserve"> to include Afghanistan</w:t>
      </w:r>
      <w:r w:rsidR="00801821" w:rsidRPr="00DE624B">
        <w:t xml:space="preserve">. </w:t>
      </w:r>
      <w:r w:rsidR="007701E2" w:rsidRPr="00DE624B">
        <w:t>We collaborate with G</w:t>
      </w:r>
      <w:r w:rsidR="00FA5402" w:rsidRPr="00DE624B">
        <w:t>-</w:t>
      </w:r>
      <w:r w:rsidR="007701E2" w:rsidRPr="00DE624B">
        <w:t xml:space="preserve">4, ARCIC, RDECOM, </w:t>
      </w:r>
      <w:r w:rsidR="009C79C0" w:rsidRPr="00DE624B">
        <w:t>RDECOM Field Assistance in Science and Technology Center (RFAST-C), Project Manager Mobile Electronic Power (</w:t>
      </w:r>
      <w:r w:rsidR="007701E2" w:rsidRPr="00DE624B">
        <w:t>PM</w:t>
      </w:r>
      <w:r w:rsidR="00294C85" w:rsidRPr="00DE624B">
        <w:t>-</w:t>
      </w:r>
      <w:r w:rsidR="007701E2" w:rsidRPr="00DE624B">
        <w:t>MEP</w:t>
      </w:r>
      <w:r w:rsidR="009C79C0" w:rsidRPr="00DE624B">
        <w:t>)</w:t>
      </w:r>
      <w:r w:rsidR="007701E2" w:rsidRPr="00DE624B">
        <w:t xml:space="preserve">, </w:t>
      </w:r>
      <w:r w:rsidR="00FA5402" w:rsidRPr="00DE624B">
        <w:t>Product Manager – Force Sustainment Systems (PM-FSS)</w:t>
      </w:r>
      <w:r w:rsidR="007701E2" w:rsidRPr="00DE624B">
        <w:t xml:space="preserve">, </w:t>
      </w:r>
      <w:r w:rsidR="00294C85" w:rsidRPr="00DE624B">
        <w:t xml:space="preserve">OEPP, Logistics Innovation Agency (LIA), </w:t>
      </w:r>
      <w:r w:rsidR="004325C5" w:rsidRPr="00DE624B">
        <w:t xml:space="preserve">DOE, </w:t>
      </w:r>
      <w:r w:rsidR="00294C85" w:rsidRPr="00DE624B">
        <w:t>and various logistics h</w:t>
      </w:r>
      <w:r w:rsidR="007701E2" w:rsidRPr="00DE624B">
        <w:t>eadquarters in a particular operational environment.</w:t>
      </w:r>
    </w:p>
    <w:p w14:paraId="2B002F66" w14:textId="34481B92" w:rsidR="008B65D8" w:rsidRPr="00DE624B" w:rsidRDefault="00D62ECF" w:rsidP="00DE624B">
      <w:r w:rsidRPr="00DE624B">
        <w:t xml:space="preserve"> </w:t>
      </w:r>
    </w:p>
    <w:p w14:paraId="2B002F67" w14:textId="77777777" w:rsidR="00122553" w:rsidRPr="00D05B8C" w:rsidRDefault="00BC2BA1" w:rsidP="00D05B8C">
      <w:r w:rsidRPr="00D05B8C">
        <w:t xml:space="preserve">To stay </w:t>
      </w:r>
      <w:r w:rsidR="008B65D8" w:rsidRPr="00D05B8C">
        <w:t>well-</w:t>
      </w:r>
      <w:r w:rsidRPr="00D05B8C">
        <w:t xml:space="preserve">informed and standardized across our energy practice, we </w:t>
      </w:r>
      <w:r w:rsidR="00F0401D" w:rsidRPr="00D05B8C">
        <w:t xml:space="preserve">developed and </w:t>
      </w:r>
      <w:r w:rsidR="0089520B" w:rsidRPr="00D05B8C">
        <w:t>routinely</w:t>
      </w:r>
    </w:p>
    <w:p w14:paraId="2B002F68" w14:textId="77777777" w:rsidR="00122553" w:rsidRPr="00D05B8C" w:rsidRDefault="0089520B" w:rsidP="00D05B8C">
      <w:r w:rsidRPr="00D05B8C">
        <w:t xml:space="preserve"> </w:t>
      </w:r>
      <w:r w:rsidR="00F0401D" w:rsidRPr="00D05B8C">
        <w:t>update our internal standardized training</w:t>
      </w:r>
      <w:r w:rsidR="007B1BCF" w:rsidRPr="00D05B8C">
        <w:t xml:space="preserve"> that </w:t>
      </w:r>
      <w:r w:rsidR="00F0401D" w:rsidRPr="00D05B8C">
        <w:t>consists of a required reading list, short exam, and</w:t>
      </w:r>
    </w:p>
    <w:p w14:paraId="2B002F69" w14:textId="77777777" w:rsidR="00122553" w:rsidRPr="00D05B8C" w:rsidRDefault="00F0401D" w:rsidP="00D05B8C">
      <w:r w:rsidRPr="00D05B8C">
        <w:t xml:space="preserve"> professional development plan. To date, this has always included an emphasis on </w:t>
      </w:r>
      <w:r w:rsidR="00FA5402" w:rsidRPr="00D05B8C">
        <w:t>l</w:t>
      </w:r>
      <w:r w:rsidRPr="00D05B8C">
        <w:t>ogistics and</w:t>
      </w:r>
    </w:p>
    <w:p w14:paraId="2B002F6A" w14:textId="77777777" w:rsidR="00122553" w:rsidRPr="00D05B8C" w:rsidRDefault="00F0401D" w:rsidP="00D05B8C">
      <w:r w:rsidRPr="00D05B8C">
        <w:t xml:space="preserve"> energy. Required references and reading include </w:t>
      </w:r>
      <w:r w:rsidR="00585A80" w:rsidRPr="00D05B8C">
        <w:t xml:space="preserve">FM 3-0, </w:t>
      </w:r>
      <w:r w:rsidR="00B80F8E" w:rsidRPr="00D05B8C">
        <w:t>FM 701-58, FM 3-05.140,</w:t>
      </w:r>
      <w:r w:rsidR="00BC2BA1" w:rsidRPr="00D05B8C">
        <w:t xml:space="preserve"> </w:t>
      </w:r>
      <w:r w:rsidR="00B80F8E" w:rsidRPr="00D05B8C">
        <w:t>FM 700-80,</w:t>
      </w:r>
    </w:p>
    <w:p w14:paraId="2B002F6B" w14:textId="77777777" w:rsidR="00122553" w:rsidRPr="00D05B8C" w:rsidRDefault="00B80F8E" w:rsidP="00D05B8C">
      <w:r w:rsidRPr="00D05B8C">
        <w:t xml:space="preserve"> DLA’s DLMS, JP 4.0, FM 100-5, and OSD’s Operational Energy Strategy and Implementation</w:t>
      </w:r>
    </w:p>
    <w:p w14:paraId="2B002F6C" w14:textId="77777777" w:rsidR="00122553" w:rsidRPr="00D05B8C" w:rsidRDefault="00B80F8E" w:rsidP="00D05B8C">
      <w:r w:rsidRPr="00D05B8C">
        <w:t xml:space="preserve"> Plan</w:t>
      </w:r>
      <w:r w:rsidR="00585A80" w:rsidRPr="00D05B8C">
        <w:t xml:space="preserve">, </w:t>
      </w:r>
      <w:r w:rsidR="00FA5402" w:rsidRPr="00D05B8C">
        <w:t>Task Force on Emission Inventories and Projections (TFEIP)</w:t>
      </w:r>
      <w:r w:rsidR="00585A80" w:rsidRPr="00D05B8C">
        <w:t xml:space="preserve">, TARDEC’s </w:t>
      </w:r>
    </w:p>
    <w:p w14:paraId="2B002F6D" w14:textId="77777777" w:rsidR="00122553" w:rsidRPr="00D05B8C" w:rsidRDefault="00585A80" w:rsidP="00D05B8C">
      <w:r w:rsidRPr="00D05B8C">
        <w:t>Grounds Systems Power and Energy Laboratory, CASCOM Key Performance Parameters,</w:t>
      </w:r>
    </w:p>
    <w:p w14:paraId="2B002F6E" w14:textId="77777777" w:rsidR="00122553" w:rsidRPr="00D05B8C" w:rsidRDefault="00585A80" w:rsidP="00D05B8C">
      <w:r w:rsidRPr="00D05B8C">
        <w:t xml:space="preserve"> ARCIC </w:t>
      </w:r>
      <w:r w:rsidR="0089520B" w:rsidRPr="00D05B8C">
        <w:t>Power and Energy</w:t>
      </w:r>
      <w:r w:rsidRPr="00D05B8C">
        <w:t xml:space="preserve"> White Paper, Defense Science Board Energy Task Force, </w:t>
      </w:r>
    </w:p>
    <w:p w14:paraId="2B002F6F" w14:textId="77777777" w:rsidR="00122553" w:rsidRPr="00D05B8C" w:rsidRDefault="00585A80" w:rsidP="00D05B8C">
      <w:r w:rsidRPr="00D05B8C">
        <w:t xml:space="preserve">TRADOC Operational Environment 2009-2025, and the Army’s Energy </w:t>
      </w:r>
    </w:p>
    <w:p w14:paraId="2B002F70" w14:textId="77777777" w:rsidR="00B97719" w:rsidRDefault="00585A80" w:rsidP="00D05B8C">
      <w:r w:rsidRPr="00D05B8C">
        <w:t>Security Implementation Strategy</w:t>
      </w:r>
      <w:r w:rsidR="00B80F8E" w:rsidRPr="00D05B8C">
        <w:t>.</w:t>
      </w:r>
    </w:p>
    <w:p w14:paraId="2FF00FEA" w14:textId="77777777" w:rsidR="00D05B8C" w:rsidRPr="00D05B8C" w:rsidRDefault="00D05B8C" w:rsidP="00D05B8C"/>
    <w:p w14:paraId="2B002F71" w14:textId="77777777" w:rsidR="00B97719" w:rsidRPr="00DE624B" w:rsidRDefault="0089520B" w:rsidP="00DE624B">
      <w:pPr>
        <w:pStyle w:val="BodyText"/>
      </w:pPr>
      <w:r w:rsidRPr="00DE624B">
        <w:rPr>
          <w:noProof/>
        </w:rPr>
        <w:drawing>
          <wp:inline distT="0" distB="0" distL="0" distR="0" wp14:anchorId="2B00306D" wp14:editId="2B00306E">
            <wp:extent cx="5936097" cy="200977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2 at 1.58.15 PM.png"/>
                    <pic:cNvPicPr/>
                  </pic:nvPicPr>
                  <pic:blipFill>
                    <a:blip r:embed="rId37">
                      <a:extLst>
                        <a:ext uri="{28A0092B-C50C-407E-A947-70E740481C1C}">
                          <a14:useLocalDpi xmlns:a14="http://schemas.microsoft.com/office/drawing/2010/main" val="0"/>
                        </a:ext>
                      </a:extLst>
                    </a:blip>
                    <a:stretch>
                      <a:fillRect/>
                    </a:stretch>
                  </pic:blipFill>
                  <pic:spPr>
                    <a:xfrm>
                      <a:off x="0" y="0"/>
                      <a:ext cx="5936097" cy="2009775"/>
                    </a:xfrm>
                    <a:prstGeom prst="rect">
                      <a:avLst/>
                    </a:prstGeom>
                  </pic:spPr>
                </pic:pic>
              </a:graphicData>
            </a:graphic>
          </wp:inline>
        </w:drawing>
      </w:r>
    </w:p>
    <w:p w14:paraId="2B002F72" w14:textId="77777777" w:rsidR="00B97719" w:rsidRPr="00DE624B" w:rsidRDefault="008B65D8" w:rsidP="00DE624B">
      <w:pPr>
        <w:pStyle w:val="Contents"/>
        <w:jc w:val="left"/>
        <w:rPr>
          <w:rFonts w:cs="Times New Roman"/>
          <w:sz w:val="24"/>
          <w:szCs w:val="24"/>
        </w:rPr>
      </w:pPr>
      <w:r w:rsidRPr="00DE624B">
        <w:rPr>
          <w:rFonts w:cs="Times New Roman"/>
          <w:sz w:val="24"/>
          <w:szCs w:val="24"/>
        </w:rPr>
        <w:t xml:space="preserve">Figure 1.1-1. </w:t>
      </w:r>
      <w:r w:rsidR="0089520B" w:rsidRPr="00DE624B">
        <w:rPr>
          <w:rFonts w:cs="Times New Roman"/>
          <w:sz w:val="24"/>
          <w:szCs w:val="24"/>
        </w:rPr>
        <w:t>Sample Required Reading</w:t>
      </w:r>
      <w:r w:rsidRPr="00DE624B">
        <w:rPr>
          <w:rFonts w:cs="Times New Roman"/>
          <w:sz w:val="24"/>
          <w:szCs w:val="24"/>
        </w:rPr>
        <w:t>.</w:t>
      </w:r>
      <w:r w:rsidR="00020EC1" w:rsidRPr="00DE624B">
        <w:rPr>
          <w:rFonts w:cs="Times New Roman"/>
          <w:sz w:val="24"/>
          <w:szCs w:val="24"/>
        </w:rPr>
        <w:t xml:space="preserve"> </w:t>
      </w:r>
      <w:r w:rsidR="00FB1D19" w:rsidRPr="00DE624B">
        <w:rPr>
          <w:rFonts w:cs="Times New Roman"/>
          <w:sz w:val="24"/>
          <w:szCs w:val="24"/>
        </w:rPr>
        <w:t>Acme</w:t>
      </w:r>
      <w:r w:rsidR="0089520B" w:rsidRPr="00DE624B">
        <w:rPr>
          <w:rFonts w:cs="Times New Roman"/>
          <w:sz w:val="24"/>
          <w:szCs w:val="24"/>
        </w:rPr>
        <w:t xml:space="preserve"> data collection includes the regular updates and lessons learned guiding Operational Energy at the tactical, operational, strategic and policy levels.</w:t>
      </w:r>
    </w:p>
    <w:p w14:paraId="2B002F73" w14:textId="77777777" w:rsidR="0044182D" w:rsidRPr="00DE624B" w:rsidRDefault="0044182D" w:rsidP="00DE624B">
      <w:pPr>
        <w:pStyle w:val="BodyText"/>
      </w:pPr>
    </w:p>
    <w:p w14:paraId="2B002F74" w14:textId="77777777" w:rsidR="00454A19" w:rsidRPr="00D05B8C" w:rsidRDefault="00585A80" w:rsidP="00D05B8C">
      <w:r w:rsidRPr="00D05B8C">
        <w:t>Full spectrum logistics ensures Army operational dominance over our adversaries. Our Soldiers are equipped and sustained in all phases of war fighting operations</w:t>
      </w:r>
      <w:r w:rsidR="008B65D8" w:rsidRPr="00D05B8C">
        <w:t>,</w:t>
      </w:r>
      <w:r w:rsidRPr="00D05B8C">
        <w:t xml:space="preserve"> to include all phases of stability operations. Army sustainment includes a seamless logistics system, distribution-based logistics, total asset visibility, agile infrastructure, rapid force projection, and an adequate logistics footprint to supply Adaptive Brigades and Brigade Combat Teams from early entry operations to ultimately their efficient re-deployment.</w:t>
      </w:r>
      <w:r w:rsidR="00D62ECF" w:rsidRPr="00D05B8C">
        <w:t xml:space="preserve"> </w:t>
      </w:r>
      <w:r w:rsidRPr="00D05B8C">
        <w:t xml:space="preserve">Successful </w:t>
      </w:r>
      <w:r w:rsidR="008B65D8" w:rsidRPr="00D05B8C">
        <w:t>full-</w:t>
      </w:r>
      <w:r w:rsidRPr="00D05B8C">
        <w:t>spectrum sustainment operations ensure all Soldiers and their equipment maintain an appropriate combat readiness at any time to meet our nation's challenges.</w:t>
      </w:r>
      <w:r w:rsidR="00D62ECF" w:rsidRPr="00D05B8C">
        <w:t xml:space="preserve"> </w:t>
      </w:r>
      <w:r w:rsidRPr="00D05B8C">
        <w:t>At the Joint level, full spectrum logistics must also ensure operational dominance over our adversaries.</w:t>
      </w:r>
      <w:r w:rsidR="00D62ECF" w:rsidRPr="00D05B8C">
        <w:t xml:space="preserve"> </w:t>
      </w:r>
      <w:r w:rsidRPr="00D05B8C">
        <w:t xml:space="preserve">Thus joint sustainment models must include additional </w:t>
      </w:r>
      <w:r w:rsidR="00FA5402" w:rsidRPr="00D05B8C">
        <w:t>tenets</w:t>
      </w:r>
      <w:r w:rsidRPr="00D05B8C">
        <w:t xml:space="preserve"> for our leaders to emplace with a joint force in any part of the world.</w:t>
      </w:r>
      <w:r w:rsidR="00D62ECF" w:rsidRPr="00D05B8C">
        <w:t xml:space="preserve"> </w:t>
      </w:r>
      <w:r w:rsidRPr="00D05B8C">
        <w:t xml:space="preserve">Such </w:t>
      </w:r>
      <w:r w:rsidR="00FA5402" w:rsidRPr="00D05B8C">
        <w:t>tenets</w:t>
      </w:r>
      <w:r w:rsidRPr="00D05B8C">
        <w:t xml:space="preserve"> include joint theater logistics command and control, joint deployment and </w:t>
      </w:r>
      <w:r w:rsidRPr="00D05B8C">
        <w:lastRenderedPageBreak/>
        <w:t>rapid distribution, multinational logistics, joint health services support, information fusion</w:t>
      </w:r>
      <w:r w:rsidR="008B65D8" w:rsidRPr="00D05B8C">
        <w:t>,</w:t>
      </w:r>
      <w:r w:rsidRPr="00D05B8C">
        <w:t xml:space="preserve"> and agile infrastructure.</w:t>
      </w:r>
      <w:r w:rsidR="00D62ECF" w:rsidRPr="00D05B8C">
        <w:t xml:space="preserve"> </w:t>
      </w:r>
      <w:r w:rsidRPr="00D05B8C">
        <w:t>The Joint Sustainment Model ensures all our allies and partners are equipped and sustained in a manner that guarantees a successful outcome via efficient application of logistics enablers.</w:t>
      </w:r>
      <w:r w:rsidR="00D62ECF" w:rsidRPr="00D05B8C">
        <w:t xml:space="preserve"> </w:t>
      </w:r>
    </w:p>
    <w:p w14:paraId="2B002F75" w14:textId="77777777" w:rsidR="00F1223F" w:rsidRPr="00DE624B" w:rsidRDefault="00F1223F" w:rsidP="00DE624B">
      <w:pPr>
        <w:pStyle w:val="BodyText"/>
        <w:rPr>
          <w:b/>
        </w:rPr>
      </w:pPr>
      <w:r w:rsidRPr="00DE624B">
        <w:rPr>
          <w:b/>
        </w:rPr>
        <w:t>Ability and methodology to meet the minimum requirements:</w:t>
      </w:r>
    </w:p>
    <w:p w14:paraId="2E4BFD7B" w14:textId="77777777" w:rsidR="00D05B8C" w:rsidRDefault="00076535" w:rsidP="00DE624B">
      <w:pPr>
        <w:pStyle w:val="BodyText"/>
      </w:pPr>
      <w:r w:rsidRPr="00DE624B">
        <w:rPr>
          <w:noProof/>
        </w:rPr>
        <mc:AlternateContent>
          <mc:Choice Requires="wps">
            <w:drawing>
              <wp:inline distT="0" distB="0" distL="0" distR="0" wp14:anchorId="2B00306F" wp14:editId="2B003070">
                <wp:extent cx="2209800" cy="1295400"/>
                <wp:effectExtent l="0" t="0" r="19050" b="19050"/>
                <wp:docPr id="15" name="Text Box 15"/>
                <wp:cNvGraphicFramePr/>
                <a:graphic xmlns:a="http://schemas.openxmlformats.org/drawingml/2006/main">
                  <a:graphicData uri="http://schemas.microsoft.com/office/word/2010/wordprocessingShape">
                    <wps:wsp>
                      <wps:cNvSpPr txBox="1"/>
                      <wps:spPr>
                        <a:xfrm>
                          <a:off x="0" y="0"/>
                          <a:ext cx="2209800" cy="1295400"/>
                        </a:xfrm>
                        <a:prstGeom prst="rect">
                          <a:avLst/>
                        </a:prstGeom>
                        <a:gradFill>
                          <a:gsLst>
                            <a:gs pos="0">
                              <a:schemeClr val="bg2"/>
                            </a:gs>
                            <a:gs pos="50000">
                              <a:schemeClr val="bg2">
                                <a:lumMod val="90000"/>
                              </a:schemeClr>
                            </a:gs>
                            <a:gs pos="100000">
                              <a:schemeClr val="bg2">
                                <a:lumMod val="50000"/>
                              </a:schemeClr>
                            </a:gs>
                          </a:gsLst>
                          <a:lin ang="5400000" scaled="0"/>
                        </a:gradFill>
                        <a:ln w="22225" cmpd="sng">
                          <a:solidFill>
                            <a:srgbClr val="10253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00308A" w14:textId="77777777" w:rsidR="00076535" w:rsidRPr="00454A19" w:rsidRDefault="00076535" w:rsidP="00076535">
                            <w:pPr>
                              <w:jc w:val="center"/>
                              <w:rPr>
                                <w:sz w:val="20"/>
                                <w:szCs w:val="20"/>
                              </w:rPr>
                            </w:pPr>
                            <w:r>
                              <w:rPr>
                                <w:sz w:val="20"/>
                                <w:szCs w:val="20"/>
                              </w:rPr>
                              <w:t xml:space="preserve">Acme, through the </w:t>
                            </w:r>
                            <w:r w:rsidRPr="00A253C4">
                              <w:rPr>
                                <w:sz w:val="20"/>
                                <w:szCs w:val="20"/>
                              </w:rPr>
                              <w:t>Rapid Equipping Force (REF)</w:t>
                            </w:r>
                            <w:r>
                              <w:rPr>
                                <w:sz w:val="20"/>
                                <w:szCs w:val="20"/>
                              </w:rPr>
                              <w:t>,</w:t>
                            </w:r>
                            <w:r w:rsidRPr="00454A19">
                              <w:rPr>
                                <w:sz w:val="20"/>
                                <w:szCs w:val="20"/>
                              </w:rPr>
                              <w:t xml:space="preserve"> is currently developing the new Program of Instruction (POI) for ARCIC on </w:t>
                            </w:r>
                            <w:r>
                              <w:rPr>
                                <w:sz w:val="20"/>
                                <w:szCs w:val="20"/>
                              </w:rPr>
                              <w:t>OE</w:t>
                            </w:r>
                            <w:r w:rsidRPr="00454A19">
                              <w:rPr>
                                <w:sz w:val="20"/>
                                <w:szCs w:val="20"/>
                              </w:rPr>
                              <w:t>.  Our technical competence in OE and current projects across the Army offer unique value to CASCOM and its OE objectives.</w:t>
                            </w:r>
                          </w:p>
                          <w:p w14:paraId="2B00308B" w14:textId="77777777" w:rsidR="00076535" w:rsidRPr="00454A19" w:rsidRDefault="00076535" w:rsidP="00076535">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00306F" id="Text Box 15" o:spid="_x0000_s1027" type="#_x0000_t202" style="width:17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" fillcolor="#eeece1 [3214]" strokecolor="#10253f" strokeweight="1.75pt">
                <v:fill color2="#938953 [1614]" colors="0 #eeece1;.5 #ddd9c3;1 #948a54" focus="100%" type="gradient">
                  <o:fill v:ext="view" type="gradientUnscaled"/>
                </v:fill>
                <v:textbox>
                  <w:txbxContent>
                    <w:p w14:paraId="2B00308A" w14:textId="77777777" w:rsidR="00076535" w:rsidRPr="00454A19" w:rsidRDefault="00076535" w:rsidP="00076535">
                      <w:pPr>
                        <w:jc w:val="center"/>
                        <w:rPr>
                          <w:sz w:val="20"/>
                          <w:szCs w:val="20"/>
                        </w:rPr>
                      </w:pPr>
                      <w:r>
                        <w:rPr>
                          <w:sz w:val="20"/>
                          <w:szCs w:val="20"/>
                        </w:rPr>
                        <w:t xml:space="preserve">Acme, through the </w:t>
                      </w:r>
                      <w:r w:rsidRPr="00A253C4">
                        <w:rPr>
                          <w:sz w:val="20"/>
                          <w:szCs w:val="20"/>
                        </w:rPr>
                        <w:t>Rapid Equipping Force (REF)</w:t>
                      </w:r>
                      <w:r>
                        <w:rPr>
                          <w:sz w:val="20"/>
                          <w:szCs w:val="20"/>
                        </w:rPr>
                        <w:t>,</w:t>
                      </w:r>
                      <w:r w:rsidRPr="00454A19">
                        <w:rPr>
                          <w:sz w:val="20"/>
                          <w:szCs w:val="20"/>
                        </w:rPr>
                        <w:t xml:space="preserve"> is currently developing the new Program of Instruction (POI) for ARCIC on </w:t>
                      </w:r>
                      <w:r>
                        <w:rPr>
                          <w:sz w:val="20"/>
                          <w:szCs w:val="20"/>
                        </w:rPr>
                        <w:t>OE</w:t>
                      </w:r>
                      <w:r w:rsidRPr="00454A19">
                        <w:rPr>
                          <w:sz w:val="20"/>
                          <w:szCs w:val="20"/>
                        </w:rPr>
                        <w:t>.  Our technical competence in OE and current projects across the Army offer unique value to CASCOM and its OE objectives.</w:t>
                      </w:r>
                    </w:p>
                    <w:p w14:paraId="2B00308B" w14:textId="77777777" w:rsidR="00076535" w:rsidRPr="00454A19" w:rsidRDefault="00076535" w:rsidP="00076535">
                      <w:pPr>
                        <w:jc w:val="center"/>
                        <w:rPr>
                          <w:sz w:val="20"/>
                          <w:szCs w:val="20"/>
                        </w:rPr>
                      </w:pPr>
                    </w:p>
                  </w:txbxContent>
                </v:textbox>
                <w10:anchorlock/>
              </v:shape>
            </w:pict>
          </mc:Fallback>
        </mc:AlternateContent>
      </w:r>
    </w:p>
    <w:p w14:paraId="2B002F76" w14:textId="26308430" w:rsidR="00727D8A" w:rsidRPr="00DE624B" w:rsidRDefault="00FB1D19" w:rsidP="00DE624B">
      <w:pPr>
        <w:pStyle w:val="BodyText"/>
      </w:pPr>
      <w:r w:rsidRPr="00DE624B">
        <w:t>Acme</w:t>
      </w:r>
      <w:r w:rsidR="003406F9" w:rsidRPr="00DE624B">
        <w:t xml:space="preserve"> brings institutional expertise </w:t>
      </w:r>
      <w:r w:rsidR="00454A19" w:rsidRPr="00DE624B">
        <w:t>in</w:t>
      </w:r>
      <w:r w:rsidR="003406F9" w:rsidRPr="00DE624B">
        <w:t xml:space="preserve"> OE concept development that includes the first </w:t>
      </w:r>
      <w:r w:rsidR="008954A2" w:rsidRPr="00DE624B">
        <w:t>U.S. Marine Corps (</w:t>
      </w:r>
      <w:r w:rsidR="003406F9" w:rsidRPr="00DE624B">
        <w:t>USMC</w:t>
      </w:r>
      <w:r w:rsidR="008954A2" w:rsidRPr="00DE624B">
        <w:t>)</w:t>
      </w:r>
      <w:r w:rsidR="003406F9" w:rsidRPr="00DE624B">
        <w:t xml:space="preserve"> </w:t>
      </w:r>
      <w:r w:rsidR="008954A2" w:rsidRPr="00DE624B">
        <w:t>Experimental Forward Operating Base (</w:t>
      </w:r>
      <w:proofErr w:type="spellStart"/>
      <w:r w:rsidR="008954A2" w:rsidRPr="00DE624B">
        <w:t>Ex</w:t>
      </w:r>
      <w:r w:rsidR="003406F9" w:rsidRPr="00DE624B">
        <w:t>FOB</w:t>
      </w:r>
      <w:proofErr w:type="spellEnd"/>
      <w:r w:rsidR="008954A2" w:rsidRPr="00DE624B">
        <w:t>)</w:t>
      </w:r>
      <w:r w:rsidR="003406F9" w:rsidRPr="00DE624B">
        <w:t>, Net-Zero</w:t>
      </w:r>
      <w:r w:rsidR="004325C5" w:rsidRPr="00DE624B">
        <w:t xml:space="preserve"> Plus</w:t>
      </w:r>
      <w:r w:rsidR="003406F9" w:rsidRPr="00DE624B">
        <w:t xml:space="preserve">, multiple </w:t>
      </w:r>
      <w:r w:rsidR="008954A2" w:rsidRPr="00DE624B">
        <w:t>Joint Capability Technology Demonstrations (JCTD)</w:t>
      </w:r>
      <w:r w:rsidR="003406F9" w:rsidRPr="00DE624B">
        <w:t xml:space="preserve">, </w:t>
      </w:r>
      <w:r w:rsidR="008954A2" w:rsidRPr="00DE624B">
        <w:t>Smart Power Infrastructure Demonstration for Energy Reliability and Security (SPIDERS)</w:t>
      </w:r>
      <w:r w:rsidR="003406F9" w:rsidRPr="00DE624B">
        <w:t>, Energy to the Edge, Power Surety Task Force, and the Office of Operational Energy Plans and Programs (OEPP).</w:t>
      </w:r>
      <w:r w:rsidR="00D62ECF" w:rsidRPr="00DE624B">
        <w:t xml:space="preserve"> </w:t>
      </w:r>
    </w:p>
    <w:p w14:paraId="2B002F77" w14:textId="77777777" w:rsidR="0044182D" w:rsidRDefault="00801821" w:rsidP="00D05B8C">
      <w:r w:rsidRPr="00D05B8C">
        <w:t>Our program management team can author, staff</w:t>
      </w:r>
      <w:r w:rsidR="008B65D8" w:rsidRPr="00D05B8C">
        <w:t>,</w:t>
      </w:r>
      <w:r w:rsidRPr="00D05B8C">
        <w:t xml:space="preserve"> and brief OE concepts and capability documents and brief them to the highest levels of Army</w:t>
      </w:r>
      <w:r w:rsidR="00581D32" w:rsidRPr="00D05B8C">
        <w:t>, OSD,</w:t>
      </w:r>
      <w:r w:rsidRPr="00D05B8C">
        <w:t xml:space="preserve"> and Joint staffs. </w:t>
      </w:r>
      <w:r w:rsidR="00454A19" w:rsidRPr="00D05B8C">
        <w:t xml:space="preserve">Our proposed OE Program Manager, </w:t>
      </w:r>
      <w:r w:rsidR="003C0151" w:rsidRPr="00D05B8C">
        <w:t>Joe Smith</w:t>
      </w:r>
      <w:r w:rsidR="00454A19" w:rsidRPr="00D05B8C">
        <w:t xml:space="preserve">, </w:t>
      </w:r>
      <w:r w:rsidR="004325C5" w:rsidRPr="00D05B8C">
        <w:t>has focused recently on solar and wind technology for OE</w:t>
      </w:r>
      <w:r w:rsidR="00454A19" w:rsidRPr="00D05B8C">
        <w:t xml:space="preserve"> and </w:t>
      </w:r>
      <w:r w:rsidR="004325C5" w:rsidRPr="00D05B8C">
        <w:t xml:space="preserve">bring relevant previous CASCOM experience to this team.  The Alternate PM, Mr. </w:t>
      </w:r>
      <w:r w:rsidR="003C0151" w:rsidRPr="00D05B8C">
        <w:t>James Bond</w:t>
      </w:r>
      <w:r w:rsidR="004325C5" w:rsidRPr="00D05B8C">
        <w:t>, will complement the PM with recent relevant OE support from several COCOMs this year and supporting ARCIC through the REF.  This management combination ensures proven capability development support to CASCOM with recent relevant operation insights.</w:t>
      </w:r>
    </w:p>
    <w:p w14:paraId="3356DB86" w14:textId="77777777" w:rsidR="00D05B8C" w:rsidRPr="00D05B8C" w:rsidRDefault="00D05B8C" w:rsidP="00D05B8C"/>
    <w:p w14:paraId="2B002F78" w14:textId="77777777" w:rsidR="003464CD" w:rsidRPr="00D05B8C" w:rsidRDefault="00510386" w:rsidP="00D05B8C">
      <w:r w:rsidRPr="00D05B8C">
        <w:t>As a small business that relies on collaboration and efficient management processes, our on-site team supporting CA</w:t>
      </w:r>
      <w:r w:rsidR="007B1BCF" w:rsidRPr="00D05B8C">
        <w:t>S</w:t>
      </w:r>
      <w:r w:rsidRPr="00D05B8C">
        <w:t xml:space="preserve">COM will benefit </w:t>
      </w:r>
      <w:r w:rsidR="00306C64" w:rsidRPr="00D05B8C">
        <w:t xml:space="preserve">from </w:t>
      </w:r>
      <w:r w:rsidR="00454A19" w:rsidRPr="00D05B8C">
        <w:t>corporate</w:t>
      </w:r>
      <w:r w:rsidR="00306C64" w:rsidRPr="00D05B8C">
        <w:t xml:space="preserve"> </w:t>
      </w:r>
      <w:r w:rsidR="00454A19" w:rsidRPr="00D05B8C">
        <w:t>OE expertise</w:t>
      </w:r>
      <w:r w:rsidR="003464CD" w:rsidRPr="00D05B8C">
        <w:t>,</w:t>
      </w:r>
      <w:r w:rsidR="00306C64" w:rsidRPr="00D05B8C">
        <w:t xml:space="preserve"> resulting in a synergistic effect and value added capacity for the customer. </w:t>
      </w:r>
      <w:r w:rsidR="00FB1D19" w:rsidRPr="00D05B8C">
        <w:t>Acme</w:t>
      </w:r>
      <w:r w:rsidR="00801821" w:rsidRPr="00D05B8C">
        <w:t xml:space="preserve"> has the </w:t>
      </w:r>
      <w:r w:rsidR="00702F61" w:rsidRPr="00D05B8C">
        <w:t>exper</w:t>
      </w:r>
      <w:r w:rsidR="00801821" w:rsidRPr="00D05B8C">
        <w:t>tise</w:t>
      </w:r>
      <w:r w:rsidR="00B72F24" w:rsidRPr="00D05B8C">
        <w:t xml:space="preserve"> in leveraging collaborative environme</w:t>
      </w:r>
      <w:r w:rsidR="00454A19" w:rsidRPr="00D05B8C">
        <w:t>nt software tools such as Share</w:t>
      </w:r>
      <w:r w:rsidR="00B72F24" w:rsidRPr="00D05B8C">
        <w:t>Point</w:t>
      </w:r>
      <w:r w:rsidR="00801821" w:rsidRPr="00D05B8C">
        <w:t xml:space="preserve"> to pull </w:t>
      </w:r>
      <w:r w:rsidR="00B72F24" w:rsidRPr="00D05B8C">
        <w:t>together all</w:t>
      </w:r>
      <w:r w:rsidR="00A32027" w:rsidRPr="00D05B8C">
        <w:t xml:space="preserve"> </w:t>
      </w:r>
      <w:r w:rsidR="003464CD" w:rsidRPr="00D05B8C">
        <w:t xml:space="preserve">the </w:t>
      </w:r>
      <w:r w:rsidR="00A32027" w:rsidRPr="00D05B8C">
        <w:t>organizational elements</w:t>
      </w:r>
      <w:r w:rsidR="00B72F24" w:rsidRPr="00D05B8C">
        <w:t>’ input</w:t>
      </w:r>
      <w:r w:rsidR="003464CD" w:rsidRPr="00D05B8C">
        <w:t>s</w:t>
      </w:r>
      <w:r w:rsidR="00CB110F" w:rsidRPr="00D05B8C">
        <w:t xml:space="preserve"> and tie their unique perspectives and language and work products into a synchronized capability development and feedback loop that enters into the JCIDS process at the right point.</w:t>
      </w:r>
      <w:r w:rsidR="00D62ECF" w:rsidRPr="00D05B8C">
        <w:t xml:space="preserve"> </w:t>
      </w:r>
      <w:r w:rsidR="00816442" w:rsidRPr="00D05B8C">
        <w:t xml:space="preserve">Several of the concepts identified above required </w:t>
      </w:r>
      <w:r w:rsidR="00926017" w:rsidRPr="00D05B8C">
        <w:t>JCIDS</w:t>
      </w:r>
      <w:r w:rsidR="00816442" w:rsidRPr="00D05B8C">
        <w:t xml:space="preserve"> documentation</w:t>
      </w:r>
      <w:r w:rsidR="00583E2F" w:rsidRPr="00D05B8C">
        <w:t>,</w:t>
      </w:r>
      <w:r w:rsidR="00816442" w:rsidRPr="00D05B8C">
        <w:t xml:space="preserve"> </w:t>
      </w:r>
      <w:r w:rsidR="007B1BCF" w:rsidRPr="00D05B8C">
        <w:t xml:space="preserve">such as </w:t>
      </w:r>
      <w:r w:rsidR="00816442" w:rsidRPr="00D05B8C">
        <w:t xml:space="preserve">the August 2012 </w:t>
      </w:r>
      <w:r w:rsidR="004325C5" w:rsidRPr="00D05B8C">
        <w:t>Operational Needs Statement (ONS)</w:t>
      </w:r>
      <w:r w:rsidR="00816442" w:rsidRPr="00D05B8C">
        <w:t xml:space="preserve"> that was just approved. </w:t>
      </w:r>
    </w:p>
    <w:p w14:paraId="2B002F79" w14:textId="77777777" w:rsidR="0044182D" w:rsidRPr="00DE624B" w:rsidRDefault="00441A91" w:rsidP="00DE624B">
      <w:pPr>
        <w:pStyle w:val="BodyText"/>
      </w:pPr>
      <w:r w:rsidRPr="00DE624B">
        <w:t>We know how to apply</w:t>
      </w:r>
      <w:r w:rsidR="00816442" w:rsidRPr="00DE624B">
        <w:t xml:space="preserve"> the </w:t>
      </w:r>
      <w:r w:rsidR="00287F7D" w:rsidRPr="00DE624B">
        <w:t xml:space="preserve">capability-based approach to developing requirements through the </w:t>
      </w:r>
      <w:r w:rsidR="00816442" w:rsidRPr="00DE624B">
        <w:t xml:space="preserve">JCIDS </w:t>
      </w:r>
      <w:r w:rsidR="002844CE" w:rsidRPr="00DE624B">
        <w:t>process</w:t>
      </w:r>
      <w:r w:rsidR="00287F7D" w:rsidRPr="00DE624B">
        <w:t>. We’ve helped a variety of Army organizations through this requirements needs analysis that support the PPBE process of allocating resources appropriately against such requirements.</w:t>
      </w:r>
      <w:r w:rsidR="00D62ECF" w:rsidRPr="00DE624B">
        <w:t xml:space="preserve"> </w:t>
      </w:r>
    </w:p>
    <w:p w14:paraId="2B002F7A" w14:textId="77777777" w:rsidR="00441A91" w:rsidRPr="00DE624B" w:rsidRDefault="00287F7D" w:rsidP="00DE624B">
      <w:pPr>
        <w:pStyle w:val="BodyText"/>
      </w:pPr>
      <w:r w:rsidRPr="00DE624B">
        <w:t xml:space="preserve">Having supported OE for the USMC, Joint, and Multinational forces, </w:t>
      </w:r>
      <w:r w:rsidR="00FB1D19" w:rsidRPr="00DE624B">
        <w:t>Acme</w:t>
      </w:r>
      <w:r w:rsidRPr="00DE624B">
        <w:t xml:space="preserve"> </w:t>
      </w:r>
      <w:r w:rsidR="00441A91" w:rsidRPr="00DE624B">
        <w:t>will apply JC</w:t>
      </w:r>
      <w:r w:rsidRPr="00DE624B">
        <w:t xml:space="preserve">IDS </w:t>
      </w:r>
      <w:r w:rsidR="00441A91" w:rsidRPr="00DE624B">
        <w:t xml:space="preserve">to </w:t>
      </w:r>
      <w:r w:rsidRPr="00DE624B">
        <w:t>help focus on joint concepts and integrated architectures</w:t>
      </w:r>
      <w:r w:rsidR="00441A91" w:rsidRPr="00DE624B">
        <w:t>:</w:t>
      </w:r>
    </w:p>
    <w:p w14:paraId="2B002F7B" w14:textId="77777777" w:rsidR="00441A91" w:rsidRPr="00DE624B" w:rsidRDefault="00441A91" w:rsidP="00DE624B">
      <w:pPr>
        <w:pStyle w:val="BodyText"/>
        <w:ind w:left="720"/>
      </w:pPr>
      <w:r w:rsidRPr="00DE624B">
        <w:t>1. Through the capability-based analysis, i</w:t>
      </w:r>
      <w:r w:rsidR="002844CE" w:rsidRPr="00DE624B">
        <w:t>dentify joint gaps</w:t>
      </w:r>
      <w:r w:rsidRPr="00DE624B">
        <w:t xml:space="preserve"> </w:t>
      </w:r>
      <w:r w:rsidR="00581D32" w:rsidRPr="00DE624B">
        <w:t>based on likely</w:t>
      </w:r>
      <w:r w:rsidR="002844CE" w:rsidRPr="00DE624B">
        <w:t xml:space="preserve"> emerging threat</w:t>
      </w:r>
      <w:r w:rsidR="000166C3" w:rsidRPr="00DE624B">
        <w:t>s</w:t>
      </w:r>
      <w:r w:rsidR="002844CE" w:rsidRPr="00DE624B">
        <w:t xml:space="preserve"> or </w:t>
      </w:r>
      <w:r w:rsidR="000166C3" w:rsidRPr="00DE624B">
        <w:t xml:space="preserve">a </w:t>
      </w:r>
      <w:r w:rsidR="002844CE" w:rsidRPr="00DE624B">
        <w:t>new vulnerability</w:t>
      </w:r>
      <w:r w:rsidRPr="00DE624B">
        <w:t>;</w:t>
      </w:r>
    </w:p>
    <w:p w14:paraId="2B002F7C" w14:textId="77777777" w:rsidR="00441A91" w:rsidRPr="00DE624B" w:rsidRDefault="00441A91" w:rsidP="00DE624B">
      <w:pPr>
        <w:pStyle w:val="BodyText"/>
        <w:ind w:left="720"/>
      </w:pPr>
      <w:r w:rsidRPr="00DE624B">
        <w:t>2. A</w:t>
      </w:r>
      <w:r w:rsidR="00926017" w:rsidRPr="00DE624B">
        <w:t xml:space="preserve">pply </w:t>
      </w:r>
      <w:r w:rsidR="00B06935" w:rsidRPr="00DE624B">
        <w:t>Doctrine, Organizations, Training, Materiel, Leadership &amp; Education, Personnel, Facilities (</w:t>
      </w:r>
      <w:r w:rsidR="00926017" w:rsidRPr="00DE624B">
        <w:t>DOTMLPF</w:t>
      </w:r>
      <w:r w:rsidR="00B06935" w:rsidRPr="00DE624B">
        <w:t>)</w:t>
      </w:r>
      <w:r w:rsidR="00926017" w:rsidRPr="00DE624B">
        <w:t xml:space="preserve"> analysis to ensure our solution space is </w:t>
      </w:r>
      <w:r w:rsidRPr="00DE624B">
        <w:t>all-</w:t>
      </w:r>
      <w:r w:rsidR="00926017" w:rsidRPr="00DE624B">
        <w:t>encompassing in developing capabilities</w:t>
      </w:r>
      <w:r w:rsidRPr="00DE624B">
        <w:t>; and</w:t>
      </w:r>
    </w:p>
    <w:p w14:paraId="2B002F7D" w14:textId="77777777" w:rsidR="00441A91" w:rsidRPr="00DE624B" w:rsidRDefault="00441A91" w:rsidP="00DE624B">
      <w:pPr>
        <w:pStyle w:val="BodyText"/>
        <w:ind w:left="720"/>
      </w:pPr>
      <w:r w:rsidRPr="00DE624B">
        <w:lastRenderedPageBreak/>
        <w:t>3. L</w:t>
      </w:r>
      <w:r w:rsidR="00926017" w:rsidRPr="00DE624B">
        <w:t>everage the JCIDS process for the right insertion point for any potential material solutions</w:t>
      </w:r>
      <w:r w:rsidR="00581D32" w:rsidRPr="00DE624B">
        <w:t xml:space="preserve"> that can</w:t>
      </w:r>
      <w:r w:rsidR="00926017" w:rsidRPr="00DE624B">
        <w:t xml:space="preserve"> accelerate the acquisition effort if a material item provide</w:t>
      </w:r>
      <w:r w:rsidRPr="00DE624B">
        <w:t>s</w:t>
      </w:r>
      <w:r w:rsidR="00926017" w:rsidRPr="00DE624B">
        <w:t xml:space="preserve"> the desired capability.</w:t>
      </w:r>
      <w:r w:rsidR="00D62ECF" w:rsidRPr="00DE624B">
        <w:t xml:space="preserve"> </w:t>
      </w:r>
    </w:p>
    <w:p w14:paraId="2B002F7E" w14:textId="77777777" w:rsidR="0044182D" w:rsidRPr="00DE624B" w:rsidRDefault="00CB110F" w:rsidP="00DE624B">
      <w:pPr>
        <w:pStyle w:val="BodyText"/>
      </w:pPr>
      <w:r w:rsidRPr="00DE624B">
        <w:t xml:space="preserve">For example, compelling DOE research </w:t>
      </w:r>
      <w:r w:rsidR="001555E1" w:rsidRPr="00DE624B">
        <w:t xml:space="preserve">that may be conducted within the focus </w:t>
      </w:r>
      <w:r w:rsidR="00B236EA" w:rsidRPr="00DE624B">
        <w:t xml:space="preserve">of the </w:t>
      </w:r>
      <w:r w:rsidR="00AB6FDE" w:rsidRPr="00DE624B">
        <w:t>Army OE Campaign P</w:t>
      </w:r>
      <w:r w:rsidR="001555E1" w:rsidRPr="00DE624B">
        <w:t xml:space="preserve">lan or </w:t>
      </w:r>
      <w:r w:rsidR="00B236EA" w:rsidRPr="00DE624B">
        <w:t xml:space="preserve">ongoing </w:t>
      </w:r>
      <w:r w:rsidR="001555E1" w:rsidRPr="00DE624B">
        <w:t xml:space="preserve">COCOM experimentation </w:t>
      </w:r>
      <w:r w:rsidRPr="00DE624B">
        <w:t xml:space="preserve">must still </w:t>
      </w:r>
      <w:r w:rsidR="001555E1" w:rsidRPr="00DE624B">
        <w:t xml:space="preserve">be </w:t>
      </w:r>
      <w:r w:rsidRPr="00DE624B">
        <w:t>vetted against Army and Joint Force Sustainability methods and requirements</w:t>
      </w:r>
      <w:r w:rsidR="001555E1" w:rsidRPr="00DE624B">
        <w:t xml:space="preserve">. </w:t>
      </w:r>
    </w:p>
    <w:p w14:paraId="2B002F7F" w14:textId="7B2C2303" w:rsidR="001555E1" w:rsidRPr="00DE624B" w:rsidRDefault="001555E1" w:rsidP="00DE624B">
      <w:pPr>
        <w:pStyle w:val="BodyText"/>
      </w:pPr>
      <w:r w:rsidRPr="00DE624B">
        <w:t>This is a different entry point when compared to</w:t>
      </w:r>
      <w:r w:rsidR="00CB110F" w:rsidRPr="00DE624B">
        <w:t xml:space="preserve"> mature industry technolog</w:t>
      </w:r>
      <w:r w:rsidRPr="00DE624B">
        <w:t xml:space="preserve">ies for OE </w:t>
      </w:r>
      <w:r w:rsidR="000E6AAA" w:rsidRPr="00DE624B">
        <w:t xml:space="preserve">that </w:t>
      </w:r>
      <w:r w:rsidR="00306C64" w:rsidRPr="00DE624B">
        <w:t>possess a higher Technology Readiness L</w:t>
      </w:r>
      <w:r w:rsidR="00CB110F" w:rsidRPr="00DE624B">
        <w:t>evel</w:t>
      </w:r>
      <w:r w:rsidR="00306C64" w:rsidRPr="00DE624B">
        <w:t xml:space="preserve"> (TRL</w:t>
      </w:r>
      <w:r w:rsidR="000B7449" w:rsidRPr="00DE624B">
        <w:t>) and</w:t>
      </w:r>
      <w:r w:rsidRPr="00DE624B">
        <w:t xml:space="preserve"> </w:t>
      </w:r>
      <w:r w:rsidR="00CB110F" w:rsidRPr="00DE624B">
        <w:t xml:space="preserve">might be inserted in </w:t>
      </w:r>
      <w:r w:rsidR="00306C64" w:rsidRPr="00DE624B">
        <w:t xml:space="preserve">a </w:t>
      </w:r>
      <w:r w:rsidR="00CB110F" w:rsidRPr="00DE624B">
        <w:t>PM or Rapid Equipping Force li</w:t>
      </w:r>
      <w:r w:rsidR="00306C64" w:rsidRPr="00DE624B">
        <w:t>mited operational demonstration</w:t>
      </w:r>
      <w:r w:rsidR="00CB110F" w:rsidRPr="00DE624B">
        <w:t xml:space="preserve"> if the requirement has matured.</w:t>
      </w:r>
      <w:r w:rsidR="00D62ECF" w:rsidRPr="00DE624B">
        <w:t xml:space="preserve"> </w:t>
      </w:r>
    </w:p>
    <w:p w14:paraId="2B002F80" w14:textId="77777777" w:rsidR="0044182D" w:rsidRPr="00DE624B" w:rsidRDefault="0044182D" w:rsidP="00DE624B">
      <w:pPr>
        <w:pStyle w:val="BodyText"/>
      </w:pPr>
    </w:p>
    <w:p w14:paraId="2B002F81" w14:textId="77777777" w:rsidR="002B2165" w:rsidRPr="00DE624B" w:rsidRDefault="00FB1D19" w:rsidP="00DE624B">
      <w:pPr>
        <w:pStyle w:val="BodyText"/>
      </w:pPr>
      <w:r w:rsidRPr="00DE624B">
        <w:t>Acme</w:t>
      </w:r>
      <w:r w:rsidR="00AB6FDE" w:rsidRPr="00DE624B">
        <w:t xml:space="preserve"> will support the</w:t>
      </w:r>
      <w:r w:rsidR="009704B9" w:rsidRPr="00DE624B">
        <w:t xml:space="preserve"> CASCOM OE C</w:t>
      </w:r>
      <w:r w:rsidR="00CB110F" w:rsidRPr="00DE624B">
        <w:t>ell to fuse these concepts, needs</w:t>
      </w:r>
      <w:r w:rsidR="001555E1" w:rsidRPr="00DE624B">
        <w:t>, analysis</w:t>
      </w:r>
      <w:r w:rsidR="00CB110F" w:rsidRPr="00DE624B">
        <w:t xml:space="preserve"> and technology solutions into a </w:t>
      </w:r>
      <w:r w:rsidR="00441A91" w:rsidRPr="00DE624B">
        <w:t>capabilities-</w:t>
      </w:r>
      <w:r w:rsidR="00CB110F" w:rsidRPr="00DE624B">
        <w:t xml:space="preserve">based </w:t>
      </w:r>
      <w:r w:rsidR="001555E1" w:rsidRPr="00DE624B">
        <w:t>Army integration effort that assists and informs ARCIC, TRADOC systems managers, Army Staff (G-4, G-8)</w:t>
      </w:r>
      <w:r w:rsidR="00441A91" w:rsidRPr="00DE624B">
        <w:t>,</w:t>
      </w:r>
      <w:r w:rsidR="001555E1" w:rsidRPr="00DE624B">
        <w:t xml:space="preserve"> and PMs in </w:t>
      </w:r>
      <w:r w:rsidR="009704B9" w:rsidRPr="00DE624B">
        <w:t>fulfilling</w:t>
      </w:r>
      <w:r w:rsidR="001555E1" w:rsidRPr="00DE624B">
        <w:t xml:space="preserve"> the requirement</w:t>
      </w:r>
      <w:r w:rsidR="00441A91" w:rsidRPr="00DE624B">
        <w:t>,</w:t>
      </w:r>
      <w:r w:rsidR="001555E1" w:rsidRPr="00DE624B">
        <w:t xml:space="preserve"> if in fact a material solution is needed</w:t>
      </w:r>
      <w:r w:rsidR="00441A91" w:rsidRPr="00DE624B">
        <w:t xml:space="preserve">. We will </w:t>
      </w:r>
      <w:r w:rsidR="00B236EA" w:rsidRPr="00DE624B">
        <w:t xml:space="preserve">then </w:t>
      </w:r>
      <w:r w:rsidR="009704B9" w:rsidRPr="00DE624B">
        <w:t>match</w:t>
      </w:r>
      <w:r w:rsidR="001555E1" w:rsidRPr="00DE624B">
        <w:t xml:space="preserve"> it to the DOD program and planning execution cycles so </w:t>
      </w:r>
      <w:r w:rsidR="00B236EA" w:rsidRPr="00DE624B">
        <w:t xml:space="preserve">that </w:t>
      </w:r>
      <w:r w:rsidR="001555E1" w:rsidRPr="00DE624B">
        <w:t>appropriate near</w:t>
      </w:r>
      <w:r w:rsidR="00124FD7" w:rsidRPr="00DE624B">
        <w:t>-</w:t>
      </w:r>
      <w:r w:rsidR="001555E1" w:rsidRPr="00DE624B">
        <w:t>, mid</w:t>
      </w:r>
      <w:r w:rsidR="00124FD7" w:rsidRPr="00DE624B">
        <w:t>-</w:t>
      </w:r>
      <w:r w:rsidR="001555E1" w:rsidRPr="00DE624B">
        <w:t xml:space="preserve"> and </w:t>
      </w:r>
      <w:r w:rsidR="00441A91" w:rsidRPr="00DE624B">
        <w:t>long-</w:t>
      </w:r>
      <w:r w:rsidR="001555E1" w:rsidRPr="00DE624B">
        <w:t xml:space="preserve">term resources can be obtained </w:t>
      </w:r>
      <w:r w:rsidR="00B236EA" w:rsidRPr="00DE624B">
        <w:t>to support</w:t>
      </w:r>
      <w:r w:rsidR="001555E1" w:rsidRPr="00DE624B">
        <w:t xml:space="preserve"> the Army OE vision. </w:t>
      </w:r>
      <w:r w:rsidR="00441A91" w:rsidRPr="00DE624B">
        <w:t>We</w:t>
      </w:r>
      <w:r w:rsidR="00581D32" w:rsidRPr="00DE624B">
        <w:t xml:space="preserve"> understand this process and</w:t>
      </w:r>
      <w:r w:rsidR="00441A91" w:rsidRPr="00DE624B">
        <w:t xml:space="preserve"> </w:t>
      </w:r>
      <w:r w:rsidR="009704B9" w:rsidRPr="00DE624B">
        <w:t xml:space="preserve">bring proven success in executing more than 30 OE </w:t>
      </w:r>
      <w:r w:rsidR="00AB6FDE" w:rsidRPr="00DE624B">
        <w:t xml:space="preserve">concepts and </w:t>
      </w:r>
      <w:r w:rsidR="009704B9" w:rsidRPr="00DE624B">
        <w:t>solutions.</w:t>
      </w:r>
      <w:r w:rsidR="00D62ECF" w:rsidRPr="00DE624B">
        <w:t xml:space="preserve"> </w:t>
      </w:r>
      <w:r w:rsidR="001555E1" w:rsidRPr="00DE624B">
        <w:t>Our organizational concept leverages existing relationships.</w:t>
      </w:r>
      <w:r w:rsidR="00D62ECF" w:rsidRPr="00DE624B">
        <w:t xml:space="preserve"> </w:t>
      </w:r>
    </w:p>
    <w:p w14:paraId="2B002F82" w14:textId="77777777" w:rsidR="002B2165" w:rsidRPr="00DE624B" w:rsidRDefault="002B2165" w:rsidP="00DE624B">
      <w:pPr>
        <w:pStyle w:val="BodyText"/>
      </w:pPr>
    </w:p>
    <w:p w14:paraId="2B002F83" w14:textId="77777777" w:rsidR="002B2165" w:rsidRPr="00DE624B" w:rsidRDefault="002B2165" w:rsidP="00DE624B">
      <w:pPr>
        <w:pStyle w:val="BodyText"/>
      </w:pPr>
    </w:p>
    <w:p w14:paraId="2B002F84" w14:textId="77777777" w:rsidR="00926017" w:rsidRPr="00DE624B" w:rsidRDefault="00926017" w:rsidP="00DE624B">
      <w:pPr>
        <w:pStyle w:val="BodyText"/>
      </w:pPr>
    </w:p>
    <w:p w14:paraId="2B002F85" w14:textId="77777777" w:rsidR="006D11DF" w:rsidRPr="00DE624B" w:rsidRDefault="006D11DF" w:rsidP="00DE624B">
      <w:pPr>
        <w:pStyle w:val="Caption"/>
        <w:ind w:right="-90"/>
        <w:rPr>
          <w:rFonts w:ascii="Times New Roman" w:hAnsi="Times New Roman"/>
          <w:b/>
          <w:sz w:val="24"/>
        </w:rPr>
      </w:pPr>
    </w:p>
    <w:p w14:paraId="2B002F86" w14:textId="77777777" w:rsidR="006D11DF" w:rsidRPr="00DE624B" w:rsidRDefault="006D11DF" w:rsidP="00DE624B">
      <w:pPr>
        <w:pStyle w:val="Caption"/>
        <w:ind w:right="-90"/>
        <w:rPr>
          <w:rFonts w:ascii="Times New Roman" w:hAnsi="Times New Roman"/>
          <w:b/>
          <w:sz w:val="24"/>
        </w:rPr>
      </w:pPr>
    </w:p>
    <w:p w14:paraId="2B002F87" w14:textId="77777777" w:rsidR="006D11DF" w:rsidRPr="00DE624B" w:rsidRDefault="006D11DF" w:rsidP="00DE624B">
      <w:pPr>
        <w:pStyle w:val="Caption"/>
        <w:ind w:right="-90"/>
        <w:rPr>
          <w:rFonts w:ascii="Times New Roman" w:hAnsi="Times New Roman"/>
          <w:b/>
          <w:sz w:val="24"/>
        </w:rPr>
      </w:pPr>
    </w:p>
    <w:p w14:paraId="2B002F88" w14:textId="77777777" w:rsidR="006D11DF" w:rsidRPr="00DE624B" w:rsidRDefault="006D11DF" w:rsidP="00DE624B">
      <w:pPr>
        <w:pStyle w:val="Caption"/>
        <w:ind w:right="-90"/>
        <w:rPr>
          <w:rFonts w:ascii="Times New Roman" w:hAnsi="Times New Roman"/>
          <w:b/>
          <w:sz w:val="24"/>
        </w:rPr>
      </w:pPr>
    </w:p>
    <w:p w14:paraId="2B002F89" w14:textId="77777777" w:rsidR="006D11DF" w:rsidRPr="00DE624B" w:rsidRDefault="006D11DF" w:rsidP="00DE624B">
      <w:pPr>
        <w:pStyle w:val="Caption"/>
        <w:ind w:right="-90"/>
        <w:rPr>
          <w:rFonts w:ascii="Times New Roman" w:hAnsi="Times New Roman"/>
          <w:b/>
          <w:sz w:val="24"/>
        </w:rPr>
      </w:pPr>
    </w:p>
    <w:p w14:paraId="2B002F8A" w14:textId="77777777" w:rsidR="006D11DF" w:rsidRPr="00DE624B" w:rsidRDefault="006D11DF" w:rsidP="00DE624B">
      <w:pPr>
        <w:pStyle w:val="Caption"/>
        <w:ind w:right="-90"/>
        <w:rPr>
          <w:rFonts w:ascii="Times New Roman" w:hAnsi="Times New Roman"/>
          <w:b/>
          <w:sz w:val="24"/>
        </w:rPr>
      </w:pPr>
    </w:p>
    <w:p w14:paraId="2B002F8B" w14:textId="77777777" w:rsidR="006D11DF" w:rsidRPr="00DE624B" w:rsidRDefault="006D11DF" w:rsidP="00DE624B">
      <w:pPr>
        <w:pStyle w:val="Caption"/>
        <w:ind w:right="-90"/>
        <w:rPr>
          <w:rFonts w:ascii="Times New Roman" w:hAnsi="Times New Roman"/>
          <w:b/>
          <w:sz w:val="24"/>
        </w:rPr>
      </w:pPr>
    </w:p>
    <w:p w14:paraId="2B002F8C" w14:textId="77777777" w:rsidR="006D11DF" w:rsidRPr="00DE624B" w:rsidRDefault="006D11DF" w:rsidP="00DE624B">
      <w:pPr>
        <w:pStyle w:val="Caption"/>
        <w:ind w:right="-90"/>
        <w:rPr>
          <w:rFonts w:ascii="Times New Roman" w:hAnsi="Times New Roman"/>
          <w:b/>
          <w:sz w:val="24"/>
        </w:rPr>
      </w:pPr>
    </w:p>
    <w:p w14:paraId="2B002F8D" w14:textId="77777777" w:rsidR="006D11DF" w:rsidRPr="00DE624B" w:rsidRDefault="006D11DF" w:rsidP="00DE624B">
      <w:pPr>
        <w:pStyle w:val="Caption"/>
        <w:ind w:right="-90"/>
        <w:rPr>
          <w:rFonts w:ascii="Times New Roman" w:hAnsi="Times New Roman"/>
          <w:b/>
          <w:sz w:val="24"/>
        </w:rPr>
      </w:pPr>
    </w:p>
    <w:p w14:paraId="2B002F8E" w14:textId="77777777" w:rsidR="006D11DF" w:rsidRPr="00DE624B" w:rsidRDefault="006D11DF" w:rsidP="00DE624B">
      <w:pPr>
        <w:pStyle w:val="Caption"/>
        <w:ind w:right="-90"/>
        <w:rPr>
          <w:rFonts w:ascii="Times New Roman" w:hAnsi="Times New Roman"/>
          <w:b/>
          <w:sz w:val="24"/>
        </w:rPr>
      </w:pPr>
    </w:p>
    <w:p w14:paraId="2B002F8F" w14:textId="77777777" w:rsidR="006D11DF" w:rsidRPr="00DE624B" w:rsidRDefault="006D11DF" w:rsidP="00DE624B">
      <w:pPr>
        <w:pStyle w:val="Caption"/>
        <w:ind w:right="-90"/>
        <w:rPr>
          <w:rFonts w:ascii="Times New Roman" w:hAnsi="Times New Roman"/>
          <w:b/>
          <w:sz w:val="24"/>
        </w:rPr>
      </w:pPr>
    </w:p>
    <w:p w14:paraId="2B002F90" w14:textId="77777777" w:rsidR="006D11DF" w:rsidRPr="00DE624B" w:rsidRDefault="006D11DF" w:rsidP="00DE624B">
      <w:pPr>
        <w:pStyle w:val="Caption"/>
        <w:ind w:right="-90"/>
        <w:rPr>
          <w:rFonts w:ascii="Times New Roman" w:hAnsi="Times New Roman"/>
          <w:b/>
          <w:sz w:val="24"/>
        </w:rPr>
      </w:pPr>
    </w:p>
    <w:p w14:paraId="2B002F91" w14:textId="77777777" w:rsidR="006D11DF" w:rsidRPr="00DE624B" w:rsidRDefault="006D11DF" w:rsidP="00DE624B">
      <w:pPr>
        <w:pStyle w:val="Caption"/>
        <w:ind w:right="-90"/>
        <w:rPr>
          <w:rFonts w:ascii="Times New Roman" w:hAnsi="Times New Roman"/>
          <w:b/>
          <w:sz w:val="24"/>
        </w:rPr>
      </w:pPr>
    </w:p>
    <w:p w14:paraId="2B002F92" w14:textId="77777777" w:rsidR="00441A91" w:rsidRPr="00DE624B" w:rsidRDefault="00441A91" w:rsidP="00DE624B">
      <w:pPr>
        <w:pStyle w:val="Heading4"/>
        <w:rPr>
          <w:rFonts w:ascii="Times New Roman" w:hAnsi="Times New Roman"/>
        </w:rPr>
      </w:pPr>
    </w:p>
    <w:p w14:paraId="2B002F93" w14:textId="77777777" w:rsidR="0044182D" w:rsidRPr="00DE624B" w:rsidRDefault="0044182D" w:rsidP="00DE624B">
      <w:pPr>
        <w:rPr>
          <w:b/>
        </w:rPr>
      </w:pPr>
      <w:r w:rsidRPr="00DE624B">
        <w:t xml:space="preserve">Extent to which uncertainties are identified and resolutions proposed </w:t>
      </w:r>
      <w:r w:rsidR="00C828D5" w:rsidRPr="00DE624B">
        <w:t>is</w:t>
      </w:r>
      <w:r w:rsidRPr="00DE624B">
        <w:t xml:space="preserve"> shown in</w:t>
      </w:r>
      <w:r w:rsidRPr="00DE624B">
        <w:rPr>
          <w:b/>
        </w:rPr>
        <w:t xml:space="preserve"> Table 1.1-1. </w:t>
      </w:r>
    </w:p>
    <w:p w14:paraId="2B002F94" w14:textId="77777777" w:rsidR="0044182D" w:rsidRPr="00DE624B" w:rsidRDefault="0044182D" w:rsidP="00DE624B">
      <w:pPr>
        <w:pStyle w:val="Caption"/>
        <w:rPr>
          <w:rFonts w:ascii="Times New Roman" w:hAnsi="Times New Roman"/>
          <w:b/>
          <w:sz w:val="24"/>
        </w:rPr>
      </w:pPr>
    </w:p>
    <w:p w14:paraId="2B002F95" w14:textId="77777777" w:rsidR="0044182D" w:rsidRPr="00DE624B" w:rsidRDefault="0044182D" w:rsidP="00DE624B">
      <w:pPr>
        <w:pStyle w:val="Caption"/>
        <w:rPr>
          <w:rFonts w:ascii="Times New Roman" w:hAnsi="Times New Roman"/>
          <w:sz w:val="24"/>
        </w:rPr>
      </w:pPr>
      <w:r w:rsidRPr="00DE624B">
        <w:rPr>
          <w:rFonts w:ascii="Times New Roman" w:hAnsi="Times New Roman"/>
          <w:b/>
          <w:sz w:val="24"/>
        </w:rPr>
        <w:t>Table 1.1-1.</w:t>
      </w:r>
      <w:r w:rsidRPr="00DE624B">
        <w:rPr>
          <w:rFonts w:ascii="Times New Roman" w:hAnsi="Times New Roman"/>
          <w:sz w:val="24"/>
        </w:rPr>
        <w:t xml:space="preserve"> Risks and Mitigations.</w:t>
      </w:r>
    </w:p>
    <w:tbl>
      <w:tblPr>
        <w:tblStyle w:val="OCPATable"/>
        <w:tblW w:w="0" w:type="auto"/>
        <w:tblLook w:val="04A0" w:firstRow="1" w:lastRow="0" w:firstColumn="1" w:lastColumn="0" w:noHBand="0" w:noVBand="1"/>
      </w:tblPr>
      <w:tblGrid>
        <w:gridCol w:w="2150"/>
        <w:gridCol w:w="3238"/>
        <w:gridCol w:w="4188"/>
      </w:tblGrid>
      <w:tr w:rsidR="006D11DF" w:rsidRPr="00DE624B" w14:paraId="2B002F99" w14:textId="77777777" w:rsidTr="006D11DF">
        <w:trPr>
          <w:cnfStyle w:val="100000000000" w:firstRow="1" w:lastRow="0" w:firstColumn="0" w:lastColumn="0" w:oddVBand="0" w:evenVBand="0" w:oddHBand="0" w:evenHBand="0" w:firstRowFirstColumn="0" w:firstRowLastColumn="0" w:lastRowFirstColumn="0" w:lastRowLastColumn="0"/>
        </w:trPr>
        <w:tc>
          <w:tcPr>
            <w:tcW w:w="2150" w:type="dxa"/>
          </w:tcPr>
          <w:p w14:paraId="2B002F96" w14:textId="77777777" w:rsidR="006D11DF" w:rsidRPr="00DE624B" w:rsidRDefault="006D11DF" w:rsidP="00DE624B">
            <w:pPr>
              <w:rPr>
                <w:rFonts w:ascii="Times New Roman" w:hAnsi="Times New Roman"/>
                <w:color w:val="F2F2F2" w:themeColor="background1" w:themeShade="F2"/>
              </w:rPr>
            </w:pPr>
            <w:r w:rsidRPr="00DE624B">
              <w:rPr>
                <w:rFonts w:ascii="Times New Roman" w:hAnsi="Times New Roman"/>
                <w:color w:val="F2F2F2" w:themeColor="background1" w:themeShade="F2"/>
              </w:rPr>
              <w:t>Risk</w:t>
            </w:r>
          </w:p>
        </w:tc>
        <w:tc>
          <w:tcPr>
            <w:tcW w:w="3238" w:type="dxa"/>
          </w:tcPr>
          <w:p w14:paraId="2B002F97" w14:textId="77777777" w:rsidR="006D11DF" w:rsidRPr="00DE624B" w:rsidRDefault="006D11DF" w:rsidP="00DE624B">
            <w:pPr>
              <w:rPr>
                <w:rFonts w:ascii="Times New Roman" w:hAnsi="Times New Roman"/>
                <w:color w:val="F2F2F2" w:themeColor="background1" w:themeShade="F2"/>
              </w:rPr>
            </w:pPr>
            <w:r w:rsidRPr="00DE624B">
              <w:rPr>
                <w:rFonts w:ascii="Times New Roman" w:hAnsi="Times New Roman"/>
                <w:color w:val="F2F2F2" w:themeColor="background1" w:themeShade="F2"/>
              </w:rPr>
              <w:t>Rationale</w:t>
            </w:r>
          </w:p>
        </w:tc>
        <w:tc>
          <w:tcPr>
            <w:tcW w:w="4188" w:type="dxa"/>
          </w:tcPr>
          <w:p w14:paraId="2B002F98" w14:textId="77777777" w:rsidR="006D11DF" w:rsidRPr="00DE624B" w:rsidRDefault="00FB1D19" w:rsidP="00DE624B">
            <w:pPr>
              <w:rPr>
                <w:rFonts w:ascii="Times New Roman" w:hAnsi="Times New Roman"/>
                <w:color w:val="F2F2F2" w:themeColor="background1" w:themeShade="F2"/>
              </w:rPr>
            </w:pPr>
            <w:r w:rsidRPr="00DE624B">
              <w:rPr>
                <w:rFonts w:ascii="Times New Roman" w:hAnsi="Times New Roman"/>
                <w:color w:val="F2F2F2" w:themeColor="background1" w:themeShade="F2"/>
              </w:rPr>
              <w:t>Acme</w:t>
            </w:r>
            <w:r w:rsidR="006D11DF" w:rsidRPr="00DE624B">
              <w:rPr>
                <w:rFonts w:ascii="Times New Roman" w:hAnsi="Times New Roman"/>
                <w:color w:val="F2F2F2" w:themeColor="background1" w:themeShade="F2"/>
              </w:rPr>
              <w:t xml:space="preserve"> Mitigation</w:t>
            </w:r>
          </w:p>
        </w:tc>
      </w:tr>
      <w:tr w:rsidR="006D11DF" w:rsidRPr="00DE624B" w14:paraId="2B002F9E" w14:textId="77777777" w:rsidTr="006D11DF">
        <w:trPr>
          <w:cnfStyle w:val="000000100000" w:firstRow="0" w:lastRow="0" w:firstColumn="0" w:lastColumn="0" w:oddVBand="0" w:evenVBand="0" w:oddHBand="1" w:evenHBand="0" w:firstRowFirstColumn="0" w:firstRowLastColumn="0" w:lastRowFirstColumn="0" w:lastRowLastColumn="0"/>
        </w:trPr>
        <w:tc>
          <w:tcPr>
            <w:tcW w:w="2150" w:type="dxa"/>
            <w:shd w:val="clear" w:color="auto" w:fill="DDD9C3"/>
            <w:vAlign w:val="center"/>
          </w:tcPr>
          <w:p w14:paraId="2B002F9A" w14:textId="77777777" w:rsidR="006D11DF" w:rsidRPr="00DE624B" w:rsidRDefault="006D11DF" w:rsidP="00DE624B">
            <w:pPr>
              <w:rPr>
                <w:b/>
                <w:sz w:val="24"/>
              </w:rPr>
            </w:pPr>
            <w:r w:rsidRPr="00DE624B">
              <w:rPr>
                <w:b/>
                <w:sz w:val="24"/>
              </w:rPr>
              <w:t>Relevant only for yesterday</w:t>
            </w:r>
          </w:p>
        </w:tc>
        <w:tc>
          <w:tcPr>
            <w:tcW w:w="3238" w:type="dxa"/>
            <w:shd w:val="clear" w:color="auto" w:fill="DDD9C3"/>
            <w:vAlign w:val="center"/>
          </w:tcPr>
          <w:p w14:paraId="2B002F9B" w14:textId="77777777" w:rsidR="006D11DF" w:rsidRPr="00DE624B" w:rsidRDefault="006D11DF" w:rsidP="00DE624B">
            <w:pPr>
              <w:pStyle w:val="ListParagraph"/>
              <w:ind w:left="-80"/>
              <w:rPr>
                <w:sz w:val="24"/>
              </w:rPr>
            </w:pPr>
            <w:r w:rsidRPr="00DE624B">
              <w:rPr>
                <w:sz w:val="24"/>
              </w:rPr>
              <w:t>Rapid technology evolution, timing of budget and programming cycles, innovation from other services and agencies,</w:t>
            </w:r>
          </w:p>
        </w:tc>
        <w:tc>
          <w:tcPr>
            <w:tcW w:w="4188" w:type="dxa"/>
            <w:shd w:val="clear" w:color="auto" w:fill="DDD9C3"/>
          </w:tcPr>
          <w:p w14:paraId="2B002F9C" w14:textId="77777777" w:rsidR="006D11DF" w:rsidRPr="00DE624B" w:rsidRDefault="006D11DF" w:rsidP="00DE624B">
            <w:pPr>
              <w:pStyle w:val="ListParagraph"/>
              <w:numPr>
                <w:ilvl w:val="0"/>
                <w:numId w:val="19"/>
              </w:numPr>
              <w:ind w:left="102" w:hanging="180"/>
              <w:rPr>
                <w:sz w:val="24"/>
              </w:rPr>
            </w:pPr>
            <w:r w:rsidRPr="00DE624B">
              <w:rPr>
                <w:sz w:val="24"/>
              </w:rPr>
              <w:t>We foster collaboration and open source innovation using 6 different research tools to stay on the cutting edge of technology development and best practices</w:t>
            </w:r>
          </w:p>
          <w:p w14:paraId="2B002F9D" w14:textId="77777777" w:rsidR="006D11DF" w:rsidRPr="00DE624B" w:rsidRDefault="006D11DF" w:rsidP="00DE624B">
            <w:pPr>
              <w:pStyle w:val="ListParagraph"/>
              <w:numPr>
                <w:ilvl w:val="0"/>
                <w:numId w:val="19"/>
              </w:numPr>
              <w:ind w:left="102" w:hanging="180"/>
              <w:rPr>
                <w:sz w:val="24"/>
              </w:rPr>
            </w:pPr>
          </w:p>
        </w:tc>
      </w:tr>
      <w:tr w:rsidR="006D11DF" w:rsidRPr="00DE624B" w14:paraId="2B002FA3" w14:textId="77777777" w:rsidTr="006D11DF">
        <w:trPr>
          <w:cnfStyle w:val="000000010000" w:firstRow="0" w:lastRow="0" w:firstColumn="0" w:lastColumn="0" w:oddVBand="0" w:evenVBand="0" w:oddHBand="0" w:evenHBand="1" w:firstRowFirstColumn="0" w:firstRowLastColumn="0" w:lastRowFirstColumn="0" w:lastRowLastColumn="0"/>
        </w:trPr>
        <w:tc>
          <w:tcPr>
            <w:tcW w:w="2150" w:type="dxa"/>
            <w:vAlign w:val="center"/>
          </w:tcPr>
          <w:p w14:paraId="2B002F9F" w14:textId="77777777" w:rsidR="006D11DF" w:rsidRPr="00DE624B" w:rsidRDefault="003973E6" w:rsidP="00DE624B">
            <w:pPr>
              <w:rPr>
                <w:b/>
                <w:sz w:val="24"/>
              </w:rPr>
            </w:pPr>
            <w:r w:rsidRPr="00DE624B">
              <w:rPr>
                <w:b/>
                <w:sz w:val="24"/>
              </w:rPr>
              <w:lastRenderedPageBreak/>
              <w:t>Risk in the</w:t>
            </w:r>
            <w:r w:rsidR="006D11DF" w:rsidRPr="00DE624B">
              <w:rPr>
                <w:b/>
                <w:sz w:val="24"/>
              </w:rPr>
              <w:t xml:space="preserve"> management team</w:t>
            </w:r>
          </w:p>
        </w:tc>
        <w:tc>
          <w:tcPr>
            <w:tcW w:w="3238" w:type="dxa"/>
            <w:vAlign w:val="center"/>
          </w:tcPr>
          <w:p w14:paraId="2B002FA0" w14:textId="77777777" w:rsidR="006D11DF" w:rsidRPr="00DE624B" w:rsidRDefault="006D11DF" w:rsidP="00DE624B">
            <w:pPr>
              <w:rPr>
                <w:sz w:val="24"/>
              </w:rPr>
            </w:pPr>
            <w:r w:rsidRPr="00DE624B">
              <w:rPr>
                <w:sz w:val="24"/>
              </w:rPr>
              <w:t>Leadership will greatly impact this program and CASCOM’s success.  Other management may not be secured or be able to ensure the required operational insight.</w:t>
            </w:r>
          </w:p>
        </w:tc>
        <w:tc>
          <w:tcPr>
            <w:tcW w:w="4188" w:type="dxa"/>
          </w:tcPr>
          <w:p w14:paraId="2B002FA1" w14:textId="77777777" w:rsidR="006D11DF" w:rsidRPr="00DE624B" w:rsidRDefault="006D11DF" w:rsidP="00DE624B">
            <w:pPr>
              <w:pStyle w:val="ListParagraph"/>
              <w:numPr>
                <w:ilvl w:val="0"/>
                <w:numId w:val="20"/>
              </w:numPr>
              <w:ind w:left="102" w:hanging="180"/>
              <w:rPr>
                <w:sz w:val="24"/>
              </w:rPr>
            </w:pPr>
            <w:r w:rsidRPr="00DE624B">
              <w:rPr>
                <w:sz w:val="24"/>
              </w:rPr>
              <w:t xml:space="preserve">Entire management team is currently employed at </w:t>
            </w:r>
            <w:r w:rsidR="00FB1D19" w:rsidRPr="00DE624B">
              <w:rPr>
                <w:sz w:val="24"/>
              </w:rPr>
              <w:t>Acme</w:t>
            </w:r>
          </w:p>
          <w:p w14:paraId="2B002FA2" w14:textId="77777777" w:rsidR="006D11DF" w:rsidRPr="00DE624B" w:rsidRDefault="00122BC7" w:rsidP="00DE624B">
            <w:pPr>
              <w:pStyle w:val="ListParagraph"/>
              <w:numPr>
                <w:ilvl w:val="0"/>
                <w:numId w:val="20"/>
              </w:numPr>
              <w:ind w:left="102" w:hanging="180"/>
              <w:rPr>
                <w:sz w:val="24"/>
              </w:rPr>
            </w:pPr>
            <w:r w:rsidRPr="00DE624B">
              <w:rPr>
                <w:sz w:val="24"/>
              </w:rPr>
              <w:t>The Quality M</w:t>
            </w:r>
            <w:r w:rsidR="006D11DF" w:rsidRPr="00DE624B">
              <w:rPr>
                <w:sz w:val="24"/>
              </w:rPr>
              <w:t xml:space="preserve">anager, </w:t>
            </w:r>
            <w:r w:rsidRPr="00DE624B">
              <w:rPr>
                <w:sz w:val="24"/>
              </w:rPr>
              <w:t>principal</w:t>
            </w:r>
            <w:r w:rsidR="006D11DF" w:rsidRPr="00DE624B">
              <w:rPr>
                <w:sz w:val="24"/>
              </w:rPr>
              <w:t xml:space="preserve"> in the firm, will personally guarantee the program’s success</w:t>
            </w:r>
          </w:p>
        </w:tc>
      </w:tr>
      <w:tr w:rsidR="006D11DF" w:rsidRPr="00DE624B" w14:paraId="2B002FA8" w14:textId="77777777" w:rsidTr="006D11DF">
        <w:trPr>
          <w:cnfStyle w:val="000000100000" w:firstRow="0" w:lastRow="0" w:firstColumn="0" w:lastColumn="0" w:oddVBand="0" w:evenVBand="0" w:oddHBand="1" w:evenHBand="0" w:firstRowFirstColumn="0" w:firstRowLastColumn="0" w:lastRowFirstColumn="0" w:lastRowLastColumn="0"/>
        </w:trPr>
        <w:tc>
          <w:tcPr>
            <w:tcW w:w="2150" w:type="dxa"/>
            <w:shd w:val="clear" w:color="auto" w:fill="DDD9C3"/>
            <w:vAlign w:val="center"/>
          </w:tcPr>
          <w:p w14:paraId="2B002FA4" w14:textId="77777777" w:rsidR="006D11DF" w:rsidRPr="00DE624B" w:rsidRDefault="003973E6" w:rsidP="00DE624B">
            <w:pPr>
              <w:rPr>
                <w:b/>
                <w:sz w:val="24"/>
              </w:rPr>
            </w:pPr>
            <w:r w:rsidRPr="00DE624B">
              <w:rPr>
                <w:b/>
                <w:sz w:val="24"/>
              </w:rPr>
              <w:t>Inefficient program staff or contractor</w:t>
            </w:r>
          </w:p>
        </w:tc>
        <w:tc>
          <w:tcPr>
            <w:tcW w:w="3238" w:type="dxa"/>
            <w:shd w:val="clear" w:color="auto" w:fill="DDD9C3"/>
            <w:vAlign w:val="center"/>
          </w:tcPr>
          <w:p w14:paraId="2B002FA5" w14:textId="77777777" w:rsidR="006D11DF" w:rsidRPr="00DE624B" w:rsidRDefault="003973E6" w:rsidP="00DE624B">
            <w:pPr>
              <w:rPr>
                <w:sz w:val="24"/>
              </w:rPr>
            </w:pPr>
            <w:r w:rsidRPr="00DE624B">
              <w:rPr>
                <w:sz w:val="24"/>
              </w:rPr>
              <w:t>Un-necessary management hierarchy in companies and subcontractors create inefficient project execution and lack required flexibility and timeliness this program needs</w:t>
            </w:r>
          </w:p>
        </w:tc>
        <w:tc>
          <w:tcPr>
            <w:tcW w:w="4188" w:type="dxa"/>
            <w:shd w:val="clear" w:color="auto" w:fill="DDD9C3"/>
          </w:tcPr>
          <w:p w14:paraId="2B002FA6" w14:textId="77777777" w:rsidR="006D11DF" w:rsidRPr="00DE624B" w:rsidRDefault="003973E6" w:rsidP="00DE624B">
            <w:pPr>
              <w:pStyle w:val="ListParagraph"/>
              <w:numPr>
                <w:ilvl w:val="0"/>
                <w:numId w:val="21"/>
              </w:numPr>
              <w:ind w:left="102" w:hanging="180"/>
              <w:rPr>
                <w:sz w:val="24"/>
              </w:rPr>
            </w:pPr>
            <w:r w:rsidRPr="00DE624B">
              <w:rPr>
                <w:sz w:val="24"/>
              </w:rPr>
              <w:t xml:space="preserve">Contract authority delegated on-site with proven PM </w:t>
            </w:r>
          </w:p>
          <w:p w14:paraId="2B002FA7" w14:textId="77777777" w:rsidR="003973E6" w:rsidRPr="00DE624B" w:rsidRDefault="003973E6" w:rsidP="00DE624B">
            <w:pPr>
              <w:pStyle w:val="ListParagraph"/>
              <w:numPr>
                <w:ilvl w:val="0"/>
                <w:numId w:val="21"/>
              </w:numPr>
              <w:ind w:left="102" w:hanging="180"/>
              <w:rPr>
                <w:sz w:val="24"/>
              </w:rPr>
            </w:pPr>
            <w:r w:rsidRPr="00DE624B">
              <w:rPr>
                <w:sz w:val="24"/>
              </w:rPr>
              <w:t>No subcontractors and efficient collaborative model from recent relevant programs in scope and complexity</w:t>
            </w:r>
          </w:p>
        </w:tc>
      </w:tr>
    </w:tbl>
    <w:p w14:paraId="2B002FA9" w14:textId="77777777" w:rsidR="0044182D" w:rsidRPr="00DE624B" w:rsidRDefault="0044182D" w:rsidP="00DE624B"/>
    <w:p w14:paraId="2B002FAA" w14:textId="77777777" w:rsidR="00B501E5" w:rsidRPr="00DE624B" w:rsidRDefault="00B501E5" w:rsidP="00DE624B">
      <w:pPr>
        <w:pStyle w:val="Heading4"/>
        <w:rPr>
          <w:rFonts w:ascii="Times New Roman" w:hAnsi="Times New Roman"/>
        </w:rPr>
      </w:pPr>
    </w:p>
    <w:p w14:paraId="2B002FAB" w14:textId="77777777" w:rsidR="00EE3682" w:rsidRPr="00DE624B" w:rsidRDefault="00EE3682" w:rsidP="00DE624B">
      <w:pPr>
        <w:pStyle w:val="Heading4"/>
        <w:rPr>
          <w:rFonts w:ascii="Times New Roman" w:hAnsi="Times New Roman"/>
        </w:rPr>
      </w:pPr>
      <w:r w:rsidRPr="00DE624B">
        <w:rPr>
          <w:rFonts w:ascii="Times New Roman" w:hAnsi="Times New Roman"/>
        </w:rPr>
        <w:t>Skill Mix for the Task</w:t>
      </w:r>
    </w:p>
    <w:p w14:paraId="2B002FAC" w14:textId="77777777" w:rsidR="00EE3682" w:rsidRPr="00DE624B" w:rsidRDefault="00FB1D19" w:rsidP="00DE624B">
      <w:pPr>
        <w:pStyle w:val="BodyText"/>
        <w:rPr>
          <w:b/>
        </w:rPr>
      </w:pPr>
      <w:r w:rsidRPr="00DE624B">
        <w:t>Acme</w:t>
      </w:r>
      <w:r w:rsidR="000D5A86" w:rsidRPr="00DE624B">
        <w:t xml:space="preserve"> will bring the optimal combination of skills and experience level to effectively and efficiently support CASCOM in this task.</w:t>
      </w:r>
      <w:r w:rsidR="00D62ECF" w:rsidRPr="00DE624B">
        <w:t xml:space="preserve"> </w:t>
      </w:r>
    </w:p>
    <w:p w14:paraId="2B002FAD" w14:textId="77777777" w:rsidR="00EE3682" w:rsidRPr="00DE624B" w:rsidRDefault="00EE3682" w:rsidP="00DE624B">
      <w:pPr>
        <w:pStyle w:val="Caption"/>
        <w:rPr>
          <w:rFonts w:ascii="Times New Roman" w:hAnsi="Times New Roman"/>
          <w:sz w:val="24"/>
        </w:rPr>
      </w:pPr>
      <w:r w:rsidRPr="00DE624B">
        <w:rPr>
          <w:rFonts w:ascii="Times New Roman" w:hAnsi="Times New Roman"/>
          <w:b/>
          <w:sz w:val="24"/>
        </w:rPr>
        <w:t>Table 1.1-1.</w:t>
      </w:r>
      <w:r w:rsidRPr="00DE624B">
        <w:rPr>
          <w:rFonts w:ascii="Times New Roman" w:hAnsi="Times New Roman"/>
          <w:sz w:val="24"/>
        </w:rPr>
        <w:t xml:space="preserve"> Skill Mix for the Task.</w:t>
      </w:r>
    </w:p>
    <w:tbl>
      <w:tblPr>
        <w:tblStyle w:val="LightGrid-Accent1"/>
        <w:tblW w:w="9558" w:type="dxa"/>
        <w:tblLook w:val="04A0" w:firstRow="1" w:lastRow="0" w:firstColumn="1" w:lastColumn="0" w:noHBand="0" w:noVBand="1"/>
      </w:tblPr>
      <w:tblGrid>
        <w:gridCol w:w="7128"/>
        <w:gridCol w:w="2430"/>
      </w:tblGrid>
      <w:tr w:rsidR="0089571C" w:rsidRPr="00DE624B" w14:paraId="2B002FB0" w14:textId="77777777" w:rsidTr="00E24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tcPr>
          <w:p w14:paraId="2B002FAE" w14:textId="77777777" w:rsidR="0089571C" w:rsidRPr="00DE624B" w:rsidRDefault="0089571C" w:rsidP="00DE624B">
            <w:pPr>
              <w:rPr>
                <w:rFonts w:ascii="Times New Roman" w:hAnsi="Times New Roman" w:cs="Times New Roman"/>
              </w:rPr>
            </w:pPr>
            <w:r w:rsidRPr="00DE624B">
              <w:rPr>
                <w:rFonts w:ascii="Times New Roman" w:hAnsi="Times New Roman" w:cs="Times New Roman"/>
              </w:rPr>
              <w:t>Labor Category</w:t>
            </w:r>
          </w:p>
        </w:tc>
        <w:tc>
          <w:tcPr>
            <w:tcW w:w="2430" w:type="dxa"/>
          </w:tcPr>
          <w:p w14:paraId="2B002FAF" w14:textId="77777777" w:rsidR="0089571C" w:rsidRPr="00DE624B" w:rsidRDefault="0089571C" w:rsidP="00DE62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624B">
              <w:rPr>
                <w:rFonts w:ascii="Times New Roman" w:hAnsi="Times New Roman" w:cs="Times New Roman"/>
              </w:rPr>
              <w:t>Number of Hours</w:t>
            </w:r>
          </w:p>
        </w:tc>
      </w:tr>
      <w:tr w:rsidR="0089571C" w:rsidRPr="00DE624B" w14:paraId="2B002FB3" w14:textId="77777777" w:rsidTr="00E24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tcPr>
          <w:p w14:paraId="2B002FB1" w14:textId="77777777" w:rsidR="0089571C" w:rsidRPr="00DE624B" w:rsidRDefault="0089571C" w:rsidP="00DE624B">
            <w:pPr>
              <w:rPr>
                <w:rFonts w:ascii="Times New Roman" w:hAnsi="Times New Roman" w:cs="Times New Roman"/>
              </w:rPr>
            </w:pPr>
            <w:r w:rsidRPr="00DE624B">
              <w:rPr>
                <w:rFonts w:ascii="Times New Roman" w:hAnsi="Times New Roman" w:cs="Times New Roman"/>
              </w:rPr>
              <w:t>Program Manager</w:t>
            </w:r>
          </w:p>
        </w:tc>
        <w:tc>
          <w:tcPr>
            <w:tcW w:w="2430" w:type="dxa"/>
          </w:tcPr>
          <w:p w14:paraId="2B002FB2" w14:textId="77777777" w:rsidR="0089571C" w:rsidRPr="00DE624B" w:rsidRDefault="0089571C" w:rsidP="00DE624B">
            <w:pPr>
              <w:cnfStyle w:val="000000100000" w:firstRow="0" w:lastRow="0" w:firstColumn="0" w:lastColumn="0" w:oddVBand="0" w:evenVBand="0" w:oddHBand="1" w:evenHBand="0" w:firstRowFirstColumn="0" w:firstRowLastColumn="0" w:lastRowFirstColumn="0" w:lastRowLastColumn="0"/>
              <w:rPr>
                <w:b/>
              </w:rPr>
            </w:pPr>
            <w:r w:rsidRPr="00DE624B">
              <w:rPr>
                <w:b/>
              </w:rPr>
              <w:t>100</w:t>
            </w:r>
          </w:p>
        </w:tc>
      </w:tr>
      <w:tr w:rsidR="0089571C" w:rsidRPr="00DE624B" w14:paraId="2B002FB6" w14:textId="77777777" w:rsidTr="00E24C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tcPr>
          <w:p w14:paraId="2B002FB4" w14:textId="77777777" w:rsidR="0089571C" w:rsidRPr="00DE624B" w:rsidRDefault="0089571C" w:rsidP="00DE624B">
            <w:pPr>
              <w:rPr>
                <w:rFonts w:ascii="Times New Roman" w:hAnsi="Times New Roman" w:cs="Times New Roman"/>
              </w:rPr>
            </w:pPr>
            <w:r w:rsidRPr="00DE624B">
              <w:rPr>
                <w:rFonts w:ascii="Times New Roman" w:hAnsi="Times New Roman" w:cs="Times New Roman"/>
              </w:rPr>
              <w:t>APM/SME</w:t>
            </w:r>
          </w:p>
        </w:tc>
        <w:tc>
          <w:tcPr>
            <w:tcW w:w="2430" w:type="dxa"/>
          </w:tcPr>
          <w:p w14:paraId="2B002FB5" w14:textId="77777777" w:rsidR="0089571C" w:rsidRPr="00DE624B" w:rsidRDefault="0089571C" w:rsidP="00DE624B">
            <w:pPr>
              <w:cnfStyle w:val="000000010000" w:firstRow="0" w:lastRow="0" w:firstColumn="0" w:lastColumn="0" w:oddVBand="0" w:evenVBand="0" w:oddHBand="0" w:evenHBand="1" w:firstRowFirstColumn="0" w:firstRowLastColumn="0" w:lastRowFirstColumn="0" w:lastRowLastColumn="0"/>
              <w:rPr>
                <w:b/>
              </w:rPr>
            </w:pPr>
            <w:r w:rsidRPr="00DE624B">
              <w:rPr>
                <w:b/>
              </w:rPr>
              <w:t>750</w:t>
            </w:r>
          </w:p>
        </w:tc>
      </w:tr>
      <w:tr w:rsidR="0089571C" w:rsidRPr="00DE624B" w14:paraId="2B002FB9" w14:textId="77777777" w:rsidTr="00E24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tcPr>
          <w:p w14:paraId="2B002FB7" w14:textId="77777777" w:rsidR="0089571C" w:rsidRPr="00DE624B" w:rsidRDefault="0089571C" w:rsidP="00DE624B">
            <w:pPr>
              <w:rPr>
                <w:rFonts w:ascii="Times New Roman" w:hAnsi="Times New Roman" w:cs="Times New Roman"/>
              </w:rPr>
            </w:pPr>
            <w:r w:rsidRPr="00DE624B">
              <w:rPr>
                <w:rFonts w:ascii="Times New Roman" w:hAnsi="Times New Roman" w:cs="Times New Roman"/>
              </w:rPr>
              <w:t>PPBE/Integration Lead</w:t>
            </w:r>
          </w:p>
        </w:tc>
        <w:tc>
          <w:tcPr>
            <w:tcW w:w="2430" w:type="dxa"/>
          </w:tcPr>
          <w:p w14:paraId="2B002FB8" w14:textId="77777777" w:rsidR="0089571C" w:rsidRPr="00DE624B" w:rsidRDefault="0089571C" w:rsidP="00DE624B">
            <w:pPr>
              <w:cnfStyle w:val="000000100000" w:firstRow="0" w:lastRow="0" w:firstColumn="0" w:lastColumn="0" w:oddVBand="0" w:evenVBand="0" w:oddHBand="1" w:evenHBand="0" w:firstRowFirstColumn="0" w:firstRowLastColumn="0" w:lastRowFirstColumn="0" w:lastRowLastColumn="0"/>
              <w:rPr>
                <w:b/>
              </w:rPr>
            </w:pPr>
            <w:r w:rsidRPr="00DE624B">
              <w:rPr>
                <w:b/>
              </w:rPr>
              <w:t>220</w:t>
            </w:r>
          </w:p>
        </w:tc>
      </w:tr>
      <w:tr w:rsidR="0089571C" w:rsidRPr="00DE624B" w14:paraId="2B002FBC" w14:textId="77777777" w:rsidTr="00E24C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tcPr>
          <w:p w14:paraId="2B002FBA" w14:textId="77777777" w:rsidR="0089571C" w:rsidRPr="00DE624B" w:rsidRDefault="0089571C" w:rsidP="00DE624B">
            <w:pPr>
              <w:rPr>
                <w:rFonts w:ascii="Times New Roman" w:hAnsi="Times New Roman" w:cs="Times New Roman"/>
              </w:rPr>
            </w:pPr>
            <w:r w:rsidRPr="00DE624B">
              <w:rPr>
                <w:rFonts w:ascii="Times New Roman" w:hAnsi="Times New Roman" w:cs="Times New Roman"/>
              </w:rPr>
              <w:t>Capabilities &amp; Integration Manager</w:t>
            </w:r>
          </w:p>
        </w:tc>
        <w:tc>
          <w:tcPr>
            <w:tcW w:w="2430" w:type="dxa"/>
          </w:tcPr>
          <w:p w14:paraId="2B002FBB" w14:textId="77777777" w:rsidR="0089571C" w:rsidRPr="00DE624B" w:rsidRDefault="0089571C" w:rsidP="00DE624B">
            <w:pPr>
              <w:cnfStyle w:val="000000010000" w:firstRow="0" w:lastRow="0" w:firstColumn="0" w:lastColumn="0" w:oddVBand="0" w:evenVBand="0" w:oddHBand="0" w:evenHBand="1" w:firstRowFirstColumn="0" w:firstRowLastColumn="0" w:lastRowFirstColumn="0" w:lastRowLastColumn="0"/>
              <w:rPr>
                <w:b/>
              </w:rPr>
            </w:pPr>
            <w:r w:rsidRPr="00DE624B">
              <w:rPr>
                <w:b/>
              </w:rPr>
              <w:t>200</w:t>
            </w:r>
          </w:p>
        </w:tc>
      </w:tr>
      <w:tr w:rsidR="0089571C" w:rsidRPr="00DE624B" w14:paraId="2B002FBF" w14:textId="77777777" w:rsidTr="00E24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tcPr>
          <w:p w14:paraId="2B002FBD" w14:textId="77777777" w:rsidR="0089571C" w:rsidRPr="00DE624B" w:rsidRDefault="0089571C" w:rsidP="00DE624B">
            <w:pPr>
              <w:rPr>
                <w:rFonts w:ascii="Times New Roman" w:hAnsi="Times New Roman" w:cs="Times New Roman"/>
              </w:rPr>
            </w:pPr>
            <w:r w:rsidRPr="00DE624B">
              <w:rPr>
                <w:rFonts w:ascii="Times New Roman" w:hAnsi="Times New Roman" w:cs="Times New Roman"/>
              </w:rPr>
              <w:t>OE Analyst</w:t>
            </w:r>
          </w:p>
        </w:tc>
        <w:tc>
          <w:tcPr>
            <w:tcW w:w="2430" w:type="dxa"/>
          </w:tcPr>
          <w:p w14:paraId="2B002FBE" w14:textId="77777777" w:rsidR="0089571C" w:rsidRPr="00DE624B" w:rsidRDefault="0089571C" w:rsidP="00DE624B">
            <w:pPr>
              <w:cnfStyle w:val="000000100000" w:firstRow="0" w:lastRow="0" w:firstColumn="0" w:lastColumn="0" w:oddVBand="0" w:evenVBand="0" w:oddHBand="1" w:evenHBand="0" w:firstRowFirstColumn="0" w:firstRowLastColumn="0" w:lastRowFirstColumn="0" w:lastRowLastColumn="0"/>
              <w:rPr>
                <w:b/>
              </w:rPr>
            </w:pPr>
            <w:r w:rsidRPr="00DE624B">
              <w:rPr>
                <w:b/>
              </w:rPr>
              <w:t>120</w:t>
            </w:r>
          </w:p>
        </w:tc>
      </w:tr>
      <w:tr w:rsidR="0089571C" w:rsidRPr="00DE624B" w14:paraId="2B002FC2" w14:textId="77777777" w:rsidTr="00E24C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tcPr>
          <w:p w14:paraId="2B002FC0" w14:textId="77777777" w:rsidR="0089571C" w:rsidRPr="00DE624B" w:rsidRDefault="0089571C" w:rsidP="00DE624B">
            <w:pPr>
              <w:rPr>
                <w:rFonts w:ascii="Times New Roman" w:hAnsi="Times New Roman" w:cs="Times New Roman"/>
              </w:rPr>
            </w:pPr>
            <w:r w:rsidRPr="00DE624B">
              <w:rPr>
                <w:rFonts w:ascii="Times New Roman" w:hAnsi="Times New Roman" w:cs="Times New Roman"/>
              </w:rPr>
              <w:t>Tech/Analysis Chief</w:t>
            </w:r>
          </w:p>
        </w:tc>
        <w:tc>
          <w:tcPr>
            <w:tcW w:w="2430" w:type="dxa"/>
          </w:tcPr>
          <w:p w14:paraId="2B002FC1" w14:textId="77777777" w:rsidR="0089571C" w:rsidRPr="00DE624B" w:rsidRDefault="0089571C" w:rsidP="00DE624B">
            <w:pPr>
              <w:cnfStyle w:val="000000010000" w:firstRow="0" w:lastRow="0" w:firstColumn="0" w:lastColumn="0" w:oddVBand="0" w:evenVBand="0" w:oddHBand="0" w:evenHBand="1" w:firstRowFirstColumn="0" w:firstRowLastColumn="0" w:lastRowFirstColumn="0" w:lastRowLastColumn="0"/>
              <w:rPr>
                <w:b/>
              </w:rPr>
            </w:pPr>
            <w:r w:rsidRPr="00DE624B">
              <w:rPr>
                <w:b/>
              </w:rPr>
              <w:t>250</w:t>
            </w:r>
          </w:p>
        </w:tc>
      </w:tr>
    </w:tbl>
    <w:p w14:paraId="2B002FC3" w14:textId="77777777" w:rsidR="00076535" w:rsidRPr="00DE624B" w:rsidRDefault="00076535" w:rsidP="00DE624B">
      <w:pPr>
        <w:pStyle w:val="Heading4"/>
        <w:rPr>
          <w:rFonts w:ascii="Times New Roman" w:hAnsi="Times New Roman"/>
        </w:rPr>
        <w:sectPr w:rsidR="00076535" w:rsidRPr="00DE624B" w:rsidSect="001675A9">
          <w:headerReference w:type="default" r:id="rId38"/>
          <w:footerReference w:type="default" r:id="rId39"/>
          <w:pgSz w:w="12240" w:h="15840" w:code="1"/>
          <w:pgMar w:top="1440" w:right="1080" w:bottom="1440" w:left="1080" w:header="720" w:footer="432" w:gutter="0"/>
          <w:pgNumType w:start="0"/>
          <w:cols w:space="720"/>
          <w:docGrid w:linePitch="360"/>
        </w:sectPr>
      </w:pPr>
    </w:p>
    <w:p w14:paraId="2B002FC4" w14:textId="77777777" w:rsidR="00076535" w:rsidRPr="00DE624B" w:rsidRDefault="00076535" w:rsidP="00DE624B">
      <w:pPr>
        <w:pStyle w:val="Heading4"/>
        <w:rPr>
          <w:rFonts w:ascii="Times New Roman" w:hAnsi="Times New Roman"/>
        </w:rPr>
        <w:sectPr w:rsidR="00076535" w:rsidRPr="00DE624B" w:rsidSect="003F3F76">
          <w:type w:val="continuous"/>
          <w:pgSz w:w="12240" w:h="15840" w:code="1"/>
          <w:pgMar w:top="1440" w:right="1440" w:bottom="1440" w:left="1440" w:header="720" w:footer="432" w:gutter="0"/>
          <w:cols w:space="720"/>
          <w:docGrid w:linePitch="360"/>
        </w:sectPr>
      </w:pPr>
    </w:p>
    <w:p w14:paraId="2B002FC5" w14:textId="77777777" w:rsidR="00020EC1" w:rsidRPr="00DE624B" w:rsidRDefault="00020EC1" w:rsidP="00DE624B">
      <w:pPr>
        <w:pStyle w:val="Heading4"/>
        <w:rPr>
          <w:rFonts w:ascii="Times New Roman" w:hAnsi="Times New Roman"/>
        </w:rPr>
      </w:pPr>
    </w:p>
    <w:p w14:paraId="2B002FC6" w14:textId="77777777" w:rsidR="00BA609D" w:rsidRPr="00DE624B" w:rsidRDefault="00BA609D" w:rsidP="00DE624B">
      <w:pPr>
        <w:pStyle w:val="Heading4"/>
        <w:rPr>
          <w:rFonts w:ascii="Times New Roman" w:hAnsi="Times New Roman"/>
        </w:rPr>
      </w:pPr>
      <w:r w:rsidRPr="00DE624B">
        <w:rPr>
          <w:rFonts w:ascii="Times New Roman" w:hAnsi="Times New Roman"/>
        </w:rPr>
        <w:t>CDRLs Associated with This Task</w:t>
      </w:r>
    </w:p>
    <w:p w14:paraId="2B002FC7" w14:textId="77777777" w:rsidR="00B501E5" w:rsidRPr="00DE624B" w:rsidRDefault="00B501E5" w:rsidP="00DE624B">
      <w:pPr>
        <w:pStyle w:val="Caption"/>
        <w:rPr>
          <w:rFonts w:ascii="Times New Roman" w:hAnsi="Times New Roman"/>
          <w:b/>
          <w:sz w:val="24"/>
        </w:rPr>
      </w:pPr>
    </w:p>
    <w:p w14:paraId="2B002FC8" w14:textId="77777777" w:rsidR="00EE3682" w:rsidRPr="00DE624B" w:rsidRDefault="00EE3682" w:rsidP="00DE624B">
      <w:pPr>
        <w:pStyle w:val="Caption"/>
        <w:rPr>
          <w:rFonts w:ascii="Times New Roman" w:hAnsi="Times New Roman"/>
          <w:sz w:val="24"/>
        </w:rPr>
      </w:pPr>
      <w:r w:rsidRPr="00DE624B">
        <w:rPr>
          <w:rFonts w:ascii="Times New Roman" w:hAnsi="Times New Roman"/>
          <w:b/>
          <w:sz w:val="24"/>
        </w:rPr>
        <w:t>Table 1.1-2.</w:t>
      </w:r>
      <w:r w:rsidRPr="00DE624B">
        <w:rPr>
          <w:rFonts w:ascii="Times New Roman" w:hAnsi="Times New Roman"/>
          <w:sz w:val="24"/>
        </w:rPr>
        <w:t xml:space="preserve"> CDRLs.</w:t>
      </w:r>
    </w:p>
    <w:tbl>
      <w:tblPr>
        <w:tblStyle w:val="TableNoHeadShaded"/>
        <w:tblW w:w="13158" w:type="dxa"/>
        <w:tblLook w:val="04A0" w:firstRow="1" w:lastRow="0" w:firstColumn="1" w:lastColumn="0" w:noHBand="0" w:noVBand="1"/>
      </w:tblPr>
      <w:tblGrid>
        <w:gridCol w:w="1791"/>
        <w:gridCol w:w="2049"/>
        <w:gridCol w:w="2458"/>
        <w:gridCol w:w="6860"/>
      </w:tblGrid>
      <w:tr w:rsidR="002B2165" w:rsidRPr="00DE624B" w14:paraId="2B002FCD" w14:textId="77777777" w:rsidTr="00122553">
        <w:trPr>
          <w:cnfStyle w:val="000000100000" w:firstRow="0" w:lastRow="0" w:firstColumn="0" w:lastColumn="0" w:oddVBand="0" w:evenVBand="0" w:oddHBand="1" w:evenHBand="0" w:firstRowFirstColumn="0" w:firstRowLastColumn="0" w:lastRowFirstColumn="0" w:lastRowLastColumn="0"/>
        </w:trPr>
        <w:tc>
          <w:tcPr>
            <w:tcW w:w="1791" w:type="dxa"/>
          </w:tcPr>
          <w:p w14:paraId="2B002FC9" w14:textId="77777777" w:rsidR="002B2165" w:rsidRPr="00DE624B" w:rsidRDefault="002B2165" w:rsidP="00DE624B">
            <w:r w:rsidRPr="00DE624B">
              <w:t>CDRL Number/Title</w:t>
            </w:r>
          </w:p>
        </w:tc>
        <w:tc>
          <w:tcPr>
            <w:tcW w:w="2049" w:type="dxa"/>
          </w:tcPr>
          <w:p w14:paraId="2B002FCA" w14:textId="77777777" w:rsidR="002B2165" w:rsidRPr="00DE624B" w:rsidRDefault="002B2165" w:rsidP="00DE624B">
            <w:r w:rsidRPr="00DE624B">
              <w:t>Due Date</w:t>
            </w:r>
          </w:p>
        </w:tc>
        <w:tc>
          <w:tcPr>
            <w:tcW w:w="2458" w:type="dxa"/>
          </w:tcPr>
          <w:p w14:paraId="2B002FCB" w14:textId="77777777" w:rsidR="002B2165" w:rsidRPr="00DE624B" w:rsidRDefault="002B2165" w:rsidP="00DE624B">
            <w:r w:rsidRPr="00DE624B">
              <w:t>Performance Standard</w:t>
            </w:r>
          </w:p>
        </w:tc>
        <w:tc>
          <w:tcPr>
            <w:tcW w:w="6860" w:type="dxa"/>
          </w:tcPr>
          <w:p w14:paraId="2B002FCC" w14:textId="77777777" w:rsidR="002B2165" w:rsidRPr="00DE624B" w:rsidRDefault="002B2165" w:rsidP="00DE624B">
            <w:r w:rsidRPr="00DE624B">
              <w:t>Development Notes</w:t>
            </w:r>
          </w:p>
        </w:tc>
      </w:tr>
      <w:tr w:rsidR="002B2165" w:rsidRPr="00DE624B" w14:paraId="2B002FD2" w14:textId="77777777" w:rsidTr="00122553">
        <w:tc>
          <w:tcPr>
            <w:tcW w:w="1791" w:type="dxa"/>
          </w:tcPr>
          <w:p w14:paraId="2B002FCE" w14:textId="77777777" w:rsidR="002B2165" w:rsidRPr="00DE624B" w:rsidRDefault="002B2165" w:rsidP="00DE624B">
            <w:r w:rsidRPr="00DE624B">
              <w:t>A001 – Quality Control Plan (QCP)</w:t>
            </w:r>
          </w:p>
        </w:tc>
        <w:tc>
          <w:tcPr>
            <w:tcW w:w="2049" w:type="dxa"/>
          </w:tcPr>
          <w:p w14:paraId="2B002FCF" w14:textId="77777777" w:rsidR="002B2165" w:rsidRPr="00DE624B" w:rsidRDefault="002B2165" w:rsidP="00DE624B">
            <w:r w:rsidRPr="00DE624B">
              <w:t>Draft within 30 calendar days after award and final within 5 days of receipt of the changes</w:t>
            </w:r>
          </w:p>
        </w:tc>
        <w:tc>
          <w:tcPr>
            <w:tcW w:w="2458" w:type="dxa"/>
          </w:tcPr>
          <w:p w14:paraId="2B002FD0" w14:textId="77777777" w:rsidR="002B2165" w:rsidRPr="00DE624B" w:rsidRDefault="002B2165" w:rsidP="00DE624B">
            <w:r w:rsidRPr="00DE624B">
              <w:t>Free of serious defects</w:t>
            </w:r>
          </w:p>
        </w:tc>
        <w:tc>
          <w:tcPr>
            <w:tcW w:w="6860" w:type="dxa"/>
          </w:tcPr>
          <w:p w14:paraId="2B002FD1" w14:textId="77777777" w:rsidR="002B2165" w:rsidRPr="00DE624B" w:rsidRDefault="003B167E" w:rsidP="00DE624B">
            <w:r w:rsidRPr="00DE624B">
              <w:t>Our PMP certified QAQC Manager will brief the QCP in person with hard copies and QCP procedures and benchmarks on the project SharePoint site. He is an OE SME as well to ensure quality and effectiveness of all deliverables.</w:t>
            </w:r>
          </w:p>
        </w:tc>
      </w:tr>
      <w:tr w:rsidR="002B2165" w:rsidRPr="00DE624B" w14:paraId="2B002FDC" w14:textId="77777777" w:rsidTr="00122553">
        <w:trPr>
          <w:cnfStyle w:val="000000100000" w:firstRow="0" w:lastRow="0" w:firstColumn="0" w:lastColumn="0" w:oddVBand="0" w:evenVBand="0" w:oddHBand="1" w:evenHBand="0" w:firstRowFirstColumn="0" w:firstRowLastColumn="0" w:lastRowFirstColumn="0" w:lastRowLastColumn="0"/>
        </w:trPr>
        <w:tc>
          <w:tcPr>
            <w:tcW w:w="1791" w:type="dxa"/>
          </w:tcPr>
          <w:p w14:paraId="2B002FD3" w14:textId="77777777" w:rsidR="002B2165" w:rsidRPr="00DE624B" w:rsidRDefault="002B2165" w:rsidP="00DE624B">
            <w:r w:rsidRPr="00DE624B">
              <w:t>A002 – Program Management Plan (PMP)</w:t>
            </w:r>
          </w:p>
        </w:tc>
        <w:tc>
          <w:tcPr>
            <w:tcW w:w="2049" w:type="dxa"/>
          </w:tcPr>
          <w:p w14:paraId="2B002FD4" w14:textId="77777777" w:rsidR="002B2165" w:rsidRPr="00DE624B" w:rsidRDefault="002B2165" w:rsidP="00DE624B">
            <w:r w:rsidRPr="00DE624B">
              <w:t>10 days after Contract Start Date</w:t>
            </w:r>
          </w:p>
        </w:tc>
        <w:tc>
          <w:tcPr>
            <w:tcW w:w="2458" w:type="dxa"/>
          </w:tcPr>
          <w:p w14:paraId="2B002FD5" w14:textId="77777777" w:rsidR="002B2165" w:rsidRPr="00DE624B" w:rsidRDefault="002B2165" w:rsidP="00DE624B">
            <w:r w:rsidRPr="00DE624B">
              <w:t>Free of serious defects</w:t>
            </w:r>
          </w:p>
        </w:tc>
        <w:tc>
          <w:tcPr>
            <w:tcW w:w="6860" w:type="dxa"/>
          </w:tcPr>
          <w:p w14:paraId="2B002FD6" w14:textId="77777777" w:rsidR="002B2165" w:rsidRPr="00DE624B" w:rsidRDefault="002B2165" w:rsidP="00DE624B">
            <w:r w:rsidRPr="00DE624B">
              <w:t>We have already developed a draft PMP. Key elements of the PMP include the following:</w:t>
            </w:r>
          </w:p>
          <w:p w14:paraId="2B002FD7" w14:textId="77777777" w:rsidR="002B2165" w:rsidRPr="00DE624B" w:rsidRDefault="002B2165" w:rsidP="00DE624B">
            <w:pPr>
              <w:pStyle w:val="ListParagraph"/>
              <w:numPr>
                <w:ilvl w:val="0"/>
                <w:numId w:val="24"/>
              </w:numPr>
              <w:ind w:left="522" w:hanging="162"/>
            </w:pPr>
            <w:r w:rsidRPr="00DE624B">
              <w:t>Program Chain of Command</w:t>
            </w:r>
          </w:p>
          <w:p w14:paraId="2B002FD8" w14:textId="77777777" w:rsidR="002B2165" w:rsidRPr="00DE624B" w:rsidRDefault="002B2165" w:rsidP="00DE624B">
            <w:pPr>
              <w:pStyle w:val="ListParagraph"/>
              <w:numPr>
                <w:ilvl w:val="0"/>
                <w:numId w:val="24"/>
              </w:numPr>
              <w:ind w:left="522" w:hanging="162"/>
            </w:pPr>
            <w:r w:rsidRPr="00DE624B">
              <w:t>Task-focused Organizational Construct</w:t>
            </w:r>
          </w:p>
          <w:p w14:paraId="2B002FD9" w14:textId="77777777" w:rsidR="002B2165" w:rsidRPr="00DE624B" w:rsidRDefault="002B2165" w:rsidP="00DE624B">
            <w:pPr>
              <w:pStyle w:val="ListParagraph"/>
              <w:numPr>
                <w:ilvl w:val="0"/>
                <w:numId w:val="24"/>
              </w:numPr>
              <w:ind w:left="522" w:hanging="162"/>
            </w:pPr>
            <w:r w:rsidRPr="00DE624B">
              <w:t>Requirements Management Plan Excerpts</w:t>
            </w:r>
          </w:p>
          <w:p w14:paraId="2B002FDA" w14:textId="77777777" w:rsidR="002B2165" w:rsidRPr="00DE624B" w:rsidRDefault="002B2165" w:rsidP="00DE624B">
            <w:pPr>
              <w:pStyle w:val="TableBullet"/>
              <w:rPr>
                <w:sz w:val="24"/>
                <w:szCs w:val="24"/>
              </w:rPr>
            </w:pPr>
            <w:r w:rsidRPr="00DE624B">
              <w:rPr>
                <w:sz w:val="24"/>
                <w:szCs w:val="24"/>
              </w:rPr>
              <w:t>Agile Management Practice</w:t>
            </w:r>
          </w:p>
          <w:p w14:paraId="2B002FDB" w14:textId="77777777" w:rsidR="002B2165" w:rsidRPr="00DE624B" w:rsidRDefault="002B2165" w:rsidP="00DE624B">
            <w:r w:rsidRPr="00DE624B">
              <w:t>Some of our key strategies include hiring and empowering a strong leadership and management team and establishing an organizational model that allows us to focus on the specified tasks and affiliated requirements.</w:t>
            </w:r>
          </w:p>
        </w:tc>
      </w:tr>
      <w:tr w:rsidR="002B2165" w:rsidRPr="00DE624B" w14:paraId="2B002FE3" w14:textId="77777777" w:rsidTr="00122553">
        <w:tc>
          <w:tcPr>
            <w:tcW w:w="1791" w:type="dxa"/>
          </w:tcPr>
          <w:p w14:paraId="2B002FDD" w14:textId="77777777" w:rsidR="002B2165" w:rsidRPr="00DE624B" w:rsidRDefault="002B2165" w:rsidP="00DE624B">
            <w:r w:rsidRPr="00DE624B">
              <w:t>A003 – Monthly Status Report</w:t>
            </w:r>
          </w:p>
        </w:tc>
        <w:tc>
          <w:tcPr>
            <w:tcW w:w="2049" w:type="dxa"/>
          </w:tcPr>
          <w:p w14:paraId="2B002FDE" w14:textId="77777777" w:rsidR="002B2165" w:rsidRPr="00DE624B" w:rsidRDefault="002B2165" w:rsidP="00DE624B">
            <w:r w:rsidRPr="00DE624B">
              <w:t>Within 10 days of the period reported on</w:t>
            </w:r>
          </w:p>
        </w:tc>
        <w:tc>
          <w:tcPr>
            <w:tcW w:w="2458" w:type="dxa"/>
          </w:tcPr>
          <w:p w14:paraId="2B002FDF" w14:textId="77777777" w:rsidR="002B2165" w:rsidRPr="00DE624B" w:rsidRDefault="002B2165" w:rsidP="00DE624B">
            <w:r w:rsidRPr="00DE624B">
              <w:t>Free of serious defects</w:t>
            </w:r>
          </w:p>
        </w:tc>
        <w:tc>
          <w:tcPr>
            <w:tcW w:w="6860" w:type="dxa"/>
          </w:tcPr>
          <w:p w14:paraId="2B002FE0" w14:textId="77777777" w:rsidR="002B2165" w:rsidRPr="00DE624B" w:rsidRDefault="00076535" w:rsidP="00DE624B">
            <w:r w:rsidRPr="00DE624B">
              <w:t>Joe Smith</w:t>
            </w:r>
            <w:r w:rsidR="002B2165" w:rsidRPr="00DE624B">
              <w:t xml:space="preserve">, the PM, and/or </w:t>
            </w:r>
            <w:r w:rsidRPr="00DE624B">
              <w:t>James Bond</w:t>
            </w:r>
            <w:r w:rsidR="002B2165" w:rsidRPr="00DE624B">
              <w:t>, the APM, will provide the CASCOM OE office a written monthly report in a briefing and narrative format. It will provide general officer leadership an In-Progress Review of our team’s efforts, key learning points, updates of tasks and milestones reached, and issues needing resolution regarding our performance of the OE support contract.</w:t>
            </w:r>
          </w:p>
          <w:p w14:paraId="2B002FE1" w14:textId="77777777" w:rsidR="002B2165" w:rsidRPr="00DE624B" w:rsidRDefault="002B2165" w:rsidP="00DE624B">
            <w:r w:rsidRPr="00DE624B">
              <w:t xml:space="preserve">We will glean this information from internal daily and weekly compiled Situational Reports (SITREPs) as part of our internal quality management effort and internal work documentation effort. We will structure the information to facilitate continual key and </w:t>
            </w:r>
            <w:r w:rsidRPr="00DE624B">
              <w:lastRenderedPageBreak/>
              <w:t xml:space="preserve">senior leader education regarding the OE work effort. We will also ensure past work is on track and future work focus is appropriate and in line with senior leadership guidance. </w:t>
            </w:r>
          </w:p>
          <w:p w14:paraId="2B002FE2" w14:textId="77777777" w:rsidR="002B2165" w:rsidRPr="00DE624B" w:rsidRDefault="00076535" w:rsidP="00DE624B">
            <w:r w:rsidRPr="00DE624B">
              <w:t>Joe Smith</w:t>
            </w:r>
            <w:r w:rsidR="002B2165" w:rsidRPr="00DE624B">
              <w:t xml:space="preserve"> will attend the In Progress Reviews (IPR) with the COR and other customer leadership.</w:t>
            </w:r>
          </w:p>
        </w:tc>
      </w:tr>
      <w:tr w:rsidR="002B2165" w:rsidRPr="00DE624B" w14:paraId="2B002FE9" w14:textId="77777777" w:rsidTr="00122553">
        <w:trPr>
          <w:cnfStyle w:val="000000100000" w:firstRow="0" w:lastRow="0" w:firstColumn="0" w:lastColumn="0" w:oddVBand="0" w:evenVBand="0" w:oddHBand="1" w:evenHBand="0" w:firstRowFirstColumn="0" w:firstRowLastColumn="0" w:lastRowFirstColumn="0" w:lastRowLastColumn="0"/>
        </w:trPr>
        <w:tc>
          <w:tcPr>
            <w:tcW w:w="1791" w:type="dxa"/>
          </w:tcPr>
          <w:p w14:paraId="2B002FE4" w14:textId="77777777" w:rsidR="002B2165" w:rsidRPr="00DE624B" w:rsidRDefault="002B2165" w:rsidP="00DE624B">
            <w:r w:rsidRPr="00DE624B">
              <w:lastRenderedPageBreak/>
              <w:t>A004 – OE Concepts, Plans, Meeting Minutes, and JCIDS Documents</w:t>
            </w:r>
          </w:p>
        </w:tc>
        <w:tc>
          <w:tcPr>
            <w:tcW w:w="2049" w:type="dxa"/>
          </w:tcPr>
          <w:p w14:paraId="2B002FE5" w14:textId="77777777" w:rsidR="002B2165" w:rsidRPr="00DE624B" w:rsidRDefault="002B2165" w:rsidP="00DE624B">
            <w:r w:rsidRPr="00DE624B">
              <w:t>As requested, approximately 20 1-2 page documents per month</w:t>
            </w:r>
          </w:p>
        </w:tc>
        <w:tc>
          <w:tcPr>
            <w:tcW w:w="2458" w:type="dxa"/>
          </w:tcPr>
          <w:p w14:paraId="2B002FE6" w14:textId="77777777" w:rsidR="002B2165" w:rsidRPr="00DE624B" w:rsidRDefault="002B2165" w:rsidP="00DE624B">
            <w:r w:rsidRPr="00DE624B">
              <w:t>Free of serious defects</w:t>
            </w:r>
          </w:p>
        </w:tc>
        <w:tc>
          <w:tcPr>
            <w:tcW w:w="6860" w:type="dxa"/>
          </w:tcPr>
          <w:p w14:paraId="2B002FE7" w14:textId="77777777" w:rsidR="002B2165" w:rsidRPr="00DE624B" w:rsidRDefault="002B2165" w:rsidP="00DE624B">
            <w:r w:rsidRPr="00DE624B">
              <w:t xml:space="preserve">The </w:t>
            </w:r>
            <w:r w:rsidR="00FB1D19" w:rsidRPr="00DE624B">
              <w:t>Acme</w:t>
            </w:r>
            <w:r w:rsidRPr="00DE624B">
              <w:t xml:space="preserve"> Team’s Capabilities and Integration (C&amp;I) Branch will analyze existing and emerging Army ONS documents, as well as other Service and Joint requirements documents regarding OE concepts and development. It will compile this information in a manner that informs our Capabilities Development effort.  </w:t>
            </w:r>
          </w:p>
          <w:p w14:paraId="2B002FE8" w14:textId="77777777" w:rsidR="002B2165" w:rsidRPr="00DE624B" w:rsidRDefault="002B2165" w:rsidP="00DE624B">
            <w:r w:rsidRPr="00DE624B">
              <w:t>The lead for this work effort will be the C&amp;I Branch Chief. The C&amp;I Branch Chief will conduct bi-weekly Integrated Process Team (IPT) meetings with doctrinal staff at Army Centers of Excellence, as well as Army CENTCOM Engineer and Sustainment leads at Army Central (ARCENT) and related SMEs at other Service and COCOM agencies. This will help ensure we approach this effort informed by Joint doctrine but mindful of Army’s current and future sustainment objectives regarding OE and the Army Campaign Plan guidance for reduced supply demand signals.</w:t>
            </w:r>
          </w:p>
        </w:tc>
      </w:tr>
      <w:tr w:rsidR="002B2165" w:rsidRPr="00DE624B" w14:paraId="2B002FF0" w14:textId="77777777" w:rsidTr="00122553">
        <w:tc>
          <w:tcPr>
            <w:tcW w:w="1791" w:type="dxa"/>
          </w:tcPr>
          <w:p w14:paraId="2B002FEA" w14:textId="77777777" w:rsidR="002B2165" w:rsidRPr="00DE624B" w:rsidRDefault="002B2165" w:rsidP="00DE624B">
            <w:r w:rsidRPr="00DE624B">
              <w:t>A006 – CASCOM OE Cell</w:t>
            </w:r>
          </w:p>
        </w:tc>
        <w:tc>
          <w:tcPr>
            <w:tcW w:w="2049" w:type="dxa"/>
          </w:tcPr>
          <w:p w14:paraId="2B002FEB" w14:textId="77777777" w:rsidR="002B2165" w:rsidRPr="00DE624B" w:rsidRDefault="002B2165" w:rsidP="00DE624B">
            <w:r w:rsidRPr="00DE624B">
              <w:t>Within 30 days after start of contract</w:t>
            </w:r>
          </w:p>
        </w:tc>
        <w:tc>
          <w:tcPr>
            <w:tcW w:w="2458" w:type="dxa"/>
          </w:tcPr>
          <w:p w14:paraId="2B002FEC" w14:textId="77777777" w:rsidR="002B2165" w:rsidRPr="00DE624B" w:rsidRDefault="002B2165" w:rsidP="00DE624B">
            <w:r w:rsidRPr="00DE624B">
              <w:t>Cell contains all required subject matter expertise</w:t>
            </w:r>
          </w:p>
        </w:tc>
        <w:tc>
          <w:tcPr>
            <w:tcW w:w="6860" w:type="dxa"/>
          </w:tcPr>
          <w:p w14:paraId="2B002FED" w14:textId="77777777" w:rsidR="002B2165" w:rsidRPr="00DE624B" w:rsidRDefault="002B2165" w:rsidP="00DE624B">
            <w:r w:rsidRPr="00DE624B">
              <w:t xml:space="preserve">Our </w:t>
            </w:r>
            <w:r w:rsidR="00632016" w:rsidRPr="00DE624B">
              <w:t>six</w:t>
            </w:r>
            <w:r w:rsidRPr="00DE624B">
              <w:t xml:space="preserve">-person, two-division OE Cell is organized to handle all phases of the contract. This incorporates capabilities development and JCIDs work via the Capabilities and Integration Branch, as well as data collection and analysis of experiments and ongoing Warfighter forums. These include emerging and existing technology reviews of appropriate energy efficiency, renewable energy, water conservation, and energy storage technologies.  </w:t>
            </w:r>
          </w:p>
          <w:p w14:paraId="2B002FEE" w14:textId="77777777" w:rsidR="002B2165" w:rsidRPr="00DE624B" w:rsidRDefault="002B2165" w:rsidP="00DE624B">
            <w:r w:rsidRPr="00DE624B">
              <w:t>Our Program Manager and Alternate Program Mangers have the requisite military OE experience, as well as solid military perspective from deployments to various wars and civilian experience in sustainable energy technologies, policy, and doctrine.</w:t>
            </w:r>
          </w:p>
          <w:p w14:paraId="2B002FEF" w14:textId="77777777" w:rsidR="002B2165" w:rsidRPr="00DE624B" w:rsidRDefault="002B2165" w:rsidP="00DE624B">
            <w:r w:rsidRPr="00DE624B">
              <w:t xml:space="preserve">Collectively, the </w:t>
            </w:r>
            <w:r w:rsidR="00FB1D19" w:rsidRPr="00DE624B">
              <w:t>Acme</w:t>
            </w:r>
            <w:r w:rsidRPr="00DE624B">
              <w:t xml:space="preserve"> team, when augmented with our PPBE Manager that also has Operational Energy experience at the Joint level, will excel in supporting the existing CASCOM OE team.  We </w:t>
            </w:r>
            <w:r w:rsidRPr="00DE624B">
              <w:lastRenderedPageBreak/>
              <w:t>can immediately bring data and technical knowledge to further inform the AOECP in depth while simultaneously keeping other TRADOC Centers of Excellence (</w:t>
            </w:r>
            <w:proofErr w:type="spellStart"/>
            <w:r w:rsidRPr="00DE624B">
              <w:t>CoE</w:t>
            </w:r>
            <w:proofErr w:type="spellEnd"/>
            <w:r w:rsidRPr="00DE624B">
              <w:rPr>
                <w:rStyle w:val="CommentReference"/>
                <w:sz w:val="24"/>
                <w:szCs w:val="24"/>
              </w:rPr>
              <w:t xml:space="preserve">) </w:t>
            </w:r>
            <w:r w:rsidRPr="00DE624B">
              <w:t xml:space="preserve">decidedly engaged in our effort through the use of </w:t>
            </w:r>
            <w:r w:rsidR="00FB1D19" w:rsidRPr="00DE624B">
              <w:t>Acme</w:t>
            </w:r>
            <w:r w:rsidRPr="00DE624B">
              <w:t xml:space="preserve"> collaborative tools.</w:t>
            </w:r>
          </w:p>
        </w:tc>
      </w:tr>
    </w:tbl>
    <w:p w14:paraId="2B002FF1" w14:textId="77777777" w:rsidR="00BA609D" w:rsidRPr="00DE624B" w:rsidRDefault="00BA609D" w:rsidP="00DE624B"/>
    <w:p w14:paraId="2B002FF2" w14:textId="77777777" w:rsidR="00F53ED7" w:rsidRPr="00DE624B" w:rsidRDefault="00931E8D" w:rsidP="00DE624B">
      <w:pPr>
        <w:pStyle w:val="BodyText"/>
      </w:pPr>
      <w:bookmarkStart w:id="2" w:name="_Toc206415449"/>
      <w:r w:rsidRPr="00DE624B">
        <w:t>1.2 Study and Analysis</w:t>
      </w:r>
      <w:bookmarkEnd w:id="2"/>
    </w:p>
    <w:p w14:paraId="2B002FF3" w14:textId="77777777" w:rsidR="00F53ED7" w:rsidRPr="00DE624B" w:rsidRDefault="00F53ED7" w:rsidP="00DE624B">
      <w:r w:rsidRPr="00DE624B">
        <w:br w:type="page"/>
      </w:r>
    </w:p>
    <w:p w14:paraId="2B002FF4" w14:textId="77777777" w:rsidR="00246CF6" w:rsidRPr="00DE624B" w:rsidRDefault="00246CF6" w:rsidP="00DE624B">
      <w:pPr>
        <w:pStyle w:val="BodyText"/>
      </w:pPr>
    </w:p>
    <w:p w14:paraId="2B002FF5" w14:textId="77777777" w:rsidR="00931E8D" w:rsidRPr="00DE624B" w:rsidRDefault="00931E8D" w:rsidP="00DE624B">
      <w:pPr>
        <w:pStyle w:val="Referencecitation"/>
        <w:jc w:val="left"/>
        <w:rPr>
          <w:rFonts w:ascii="Times New Roman" w:hAnsi="Times New Roman" w:cs="Times New Roman"/>
          <w:sz w:val="24"/>
          <w:szCs w:val="24"/>
        </w:rPr>
      </w:pPr>
      <w:r w:rsidRPr="00DE624B">
        <w:rPr>
          <w:rFonts w:ascii="Times New Roman" w:hAnsi="Times New Roman" w:cs="Times New Roman"/>
          <w:sz w:val="24"/>
          <w:szCs w:val="24"/>
        </w:rPr>
        <w:t>PWS 3.2</w:t>
      </w:r>
      <w:r w:rsidR="00C2735C" w:rsidRPr="00DE624B">
        <w:rPr>
          <w:rFonts w:ascii="Times New Roman" w:hAnsi="Times New Roman" w:cs="Times New Roman"/>
          <w:sz w:val="24"/>
          <w:szCs w:val="24"/>
        </w:rPr>
        <w:t>, CDRL</w:t>
      </w:r>
      <w:r w:rsidR="00832728" w:rsidRPr="00DE624B">
        <w:rPr>
          <w:rFonts w:ascii="Times New Roman" w:hAnsi="Times New Roman" w:cs="Times New Roman"/>
          <w:sz w:val="24"/>
          <w:szCs w:val="24"/>
        </w:rPr>
        <w:t>s</w:t>
      </w:r>
      <w:r w:rsidR="00A00152" w:rsidRPr="00DE624B">
        <w:rPr>
          <w:rFonts w:ascii="Times New Roman" w:hAnsi="Times New Roman" w:cs="Times New Roman"/>
          <w:sz w:val="24"/>
          <w:szCs w:val="24"/>
        </w:rPr>
        <w:t xml:space="preserve"> A006, A00</w:t>
      </w:r>
      <w:r w:rsidR="00344F90" w:rsidRPr="00DE624B">
        <w:rPr>
          <w:rFonts w:ascii="Times New Roman" w:hAnsi="Times New Roman" w:cs="Times New Roman"/>
          <w:sz w:val="24"/>
          <w:szCs w:val="24"/>
        </w:rPr>
        <w:t>9</w:t>
      </w:r>
    </w:p>
    <w:p w14:paraId="2B002FF6" w14:textId="22EE2994" w:rsidR="004D5A7A" w:rsidRPr="00DE624B" w:rsidRDefault="004D5A7A" w:rsidP="00DE624B">
      <w:pPr>
        <w:rPr>
          <w:b/>
        </w:rPr>
      </w:pPr>
      <w:r w:rsidRPr="00DE624B">
        <w:rPr>
          <w:b/>
        </w:rPr>
        <w:t>Understanding of the specific task:</w:t>
      </w:r>
    </w:p>
    <w:p w14:paraId="2B002FF7" w14:textId="77777777" w:rsidR="006365A0" w:rsidRPr="00DE624B" w:rsidRDefault="00187B0F" w:rsidP="00DE624B">
      <w:pPr>
        <w:pStyle w:val="BodyText"/>
      </w:pPr>
      <w:r w:rsidRPr="00DE624B">
        <w:t xml:space="preserve">DOD and the Army have evolved their thinking regarding OE given the current </w:t>
      </w:r>
      <w:r w:rsidR="004D5A7A" w:rsidRPr="00DE624B">
        <w:t>variety of environmental factors and emerging threats,</w:t>
      </w:r>
      <w:r w:rsidRPr="00DE624B">
        <w:t xml:space="preserve"> and</w:t>
      </w:r>
      <w:r w:rsidR="004D5A7A" w:rsidRPr="00DE624B">
        <w:t xml:space="preserve"> innovation</w:t>
      </w:r>
      <w:r w:rsidRPr="00DE624B">
        <w:t>s</w:t>
      </w:r>
      <w:r w:rsidR="004D5A7A" w:rsidRPr="00DE624B">
        <w:t xml:space="preserve"> in clean, renewable, and ef</w:t>
      </w:r>
      <w:r w:rsidRPr="00DE624B">
        <w:t>ficient energy</w:t>
      </w:r>
      <w:r w:rsidR="004D5A7A" w:rsidRPr="00DE624B">
        <w:t>.</w:t>
      </w:r>
      <w:r w:rsidR="00D62ECF" w:rsidRPr="00DE624B">
        <w:t xml:space="preserve"> </w:t>
      </w:r>
      <w:r w:rsidR="004D5A7A" w:rsidRPr="00DE624B">
        <w:t>ARCIC’s OE White Paper was the first step in informing the development of the Army’s OECP.</w:t>
      </w:r>
      <w:r w:rsidR="00D62ECF" w:rsidRPr="00DE624B">
        <w:t xml:space="preserve"> </w:t>
      </w:r>
      <w:r w:rsidR="004D5A7A" w:rsidRPr="00DE624B">
        <w:t xml:space="preserve">We </w:t>
      </w:r>
      <w:r w:rsidR="00EB25E3" w:rsidRPr="00DE624B">
        <w:t xml:space="preserve">know </w:t>
      </w:r>
      <w:r w:rsidR="004D5A7A" w:rsidRPr="00DE624B">
        <w:t xml:space="preserve">how logistical planning considerations and metrics for OE are </w:t>
      </w:r>
      <w:r w:rsidR="006365A0" w:rsidRPr="00DE624B">
        <w:t>integrated</w:t>
      </w:r>
      <w:r w:rsidR="004D5A7A" w:rsidRPr="00DE624B">
        <w:t xml:space="preserve"> in the revised Ar</w:t>
      </w:r>
      <w:r w:rsidR="006A3D4A" w:rsidRPr="00DE624B">
        <w:t>my Functional Concept Framework</w:t>
      </w:r>
      <w:r w:rsidR="00C6471F" w:rsidRPr="00DE624B">
        <w:t xml:space="preserve"> (AFCF)</w:t>
      </w:r>
      <w:r w:rsidR="006A3D4A" w:rsidRPr="00DE624B">
        <w:t xml:space="preserve">. Our team of former military officers has participated in </w:t>
      </w:r>
      <w:r w:rsidR="003973E6" w:rsidRPr="00DE624B">
        <w:t>more than 10</w:t>
      </w:r>
      <w:r w:rsidR="006A3D4A" w:rsidRPr="00DE624B">
        <w:t xml:space="preserve"> deployments in and out of uniform</w:t>
      </w:r>
      <w:r w:rsidR="003973E6" w:rsidRPr="00DE624B">
        <w:t xml:space="preserve"> since 2001</w:t>
      </w:r>
      <w:r w:rsidR="006A3D4A" w:rsidRPr="00DE624B">
        <w:t xml:space="preserve">. </w:t>
      </w:r>
    </w:p>
    <w:p w14:paraId="2B002FF8" w14:textId="77777777" w:rsidR="006A3D4A" w:rsidRPr="00DE624B" w:rsidRDefault="006A3D4A" w:rsidP="00DE624B">
      <w:pPr>
        <w:pStyle w:val="BodyText"/>
      </w:pPr>
      <w:r w:rsidRPr="00DE624B">
        <w:t xml:space="preserve">We have seen firsthand the human and platform impacts </w:t>
      </w:r>
      <w:r w:rsidR="00EB25E3" w:rsidRPr="00DE624B">
        <w:t xml:space="preserve">that </w:t>
      </w:r>
      <w:r w:rsidRPr="00DE624B">
        <w:t xml:space="preserve">extended lines of communication have on our current sustainment model. Team </w:t>
      </w:r>
      <w:r w:rsidR="00FB1D19" w:rsidRPr="00DE624B">
        <w:t>Acme</w:t>
      </w:r>
      <w:r w:rsidRPr="00DE624B">
        <w:t xml:space="preserve"> has led a persistent campaign since 2006 in tirelessly communicating to senior Army and Joint leaders that </w:t>
      </w:r>
      <w:r w:rsidRPr="00DE624B">
        <w:rPr>
          <w:b/>
          <w:i/>
        </w:rPr>
        <w:t xml:space="preserve">in hybrid warfare we need to leverage rapid technology insertion of sustainable </w:t>
      </w:r>
      <w:r w:rsidR="006365A0" w:rsidRPr="00DE624B">
        <w:rPr>
          <w:b/>
          <w:i/>
        </w:rPr>
        <w:t xml:space="preserve">Commercial Off-The-Shelf (COTS) and Government Off-The-Shelf (GOTS) </w:t>
      </w:r>
      <w:r w:rsidRPr="00DE624B">
        <w:rPr>
          <w:b/>
          <w:i/>
        </w:rPr>
        <w:t>technologies to significantly reduce energy and water demand signals in the operational environment</w:t>
      </w:r>
      <w:r w:rsidRPr="00DE624B">
        <w:t>.</w:t>
      </w:r>
      <w:r w:rsidR="00D62ECF" w:rsidRPr="00DE624B">
        <w:t xml:space="preserve"> </w:t>
      </w:r>
    </w:p>
    <w:p w14:paraId="2B002FF9" w14:textId="77777777" w:rsidR="006A3D4A" w:rsidRPr="00DE624B" w:rsidRDefault="006A3D4A" w:rsidP="00DE624B">
      <w:pPr>
        <w:pStyle w:val="BodyText"/>
        <w:rPr>
          <w:b/>
          <w:i/>
        </w:rPr>
      </w:pPr>
      <w:r w:rsidRPr="00DE624B">
        <w:t xml:space="preserve">The results we have demonstrated both in CONUS and in </w:t>
      </w:r>
      <w:r w:rsidR="00D63765" w:rsidRPr="00DE624B">
        <w:t>Afghanistan</w:t>
      </w:r>
      <w:r w:rsidR="00EB25E3" w:rsidRPr="00DE624B">
        <w:t>, as well as</w:t>
      </w:r>
      <w:r w:rsidRPr="00DE624B">
        <w:t xml:space="preserve"> other parts of the world</w:t>
      </w:r>
      <w:r w:rsidR="00EB25E3" w:rsidRPr="00DE624B">
        <w:t>,</w:t>
      </w:r>
      <w:r w:rsidRPr="00DE624B">
        <w:t xml:space="preserve"> enable tactical commanders to enjoy longer mission endurance and greater freedom of action</w:t>
      </w:r>
      <w:r w:rsidR="00EB25E3" w:rsidRPr="00DE624B">
        <w:t>.</w:t>
      </w:r>
      <w:r w:rsidRPr="00DE624B">
        <w:t xml:space="preserve"> However, </w:t>
      </w:r>
      <w:r w:rsidR="006755AE" w:rsidRPr="00DE624B">
        <w:t>OE</w:t>
      </w:r>
      <w:r w:rsidRPr="00DE624B">
        <w:t xml:space="preserve"> work must be approached from a more efficient mass and energy balance concept</w:t>
      </w:r>
      <w:r w:rsidR="00EB25E3" w:rsidRPr="00DE624B">
        <w:t xml:space="preserve">. It </w:t>
      </w:r>
      <w:r w:rsidRPr="00DE624B">
        <w:t>requires a full DOTMLPF analysis and full CASCOM engagement to truly gain the greatest operational efficiencies and thus meet sustainment objectives as communicated in TRADOC Pam 525-4-1.</w:t>
      </w:r>
      <w:r w:rsidR="00C6471F" w:rsidRPr="00DE624B">
        <w:t xml:space="preserve"> </w:t>
      </w:r>
      <w:r w:rsidR="00C6471F" w:rsidRPr="00DE624B">
        <w:rPr>
          <w:b/>
          <w:i/>
        </w:rPr>
        <w:t xml:space="preserve">As outlined in the AFCF, </w:t>
      </w:r>
      <w:r w:rsidR="00FB1D19" w:rsidRPr="00DE624B">
        <w:rPr>
          <w:b/>
          <w:i/>
        </w:rPr>
        <w:t>Acme</w:t>
      </w:r>
      <w:r w:rsidR="00C6471F" w:rsidRPr="00DE624B">
        <w:rPr>
          <w:b/>
          <w:i/>
        </w:rPr>
        <w:t xml:space="preserve"> stresses the importance of supporting the most austere environments by physically being there in order to best inform future Army force development.</w:t>
      </w:r>
    </w:p>
    <w:p w14:paraId="2B002FFA" w14:textId="77777777" w:rsidR="004D5A7A" w:rsidRPr="00DE624B" w:rsidRDefault="004D5A7A" w:rsidP="00DE624B">
      <w:pPr>
        <w:pStyle w:val="BodyText"/>
      </w:pPr>
      <w:r w:rsidRPr="00DE624B">
        <w:t>We supported the Army at OCPA as the ACP was approved and issued earlier this year.</w:t>
      </w:r>
      <w:r w:rsidR="00D62ECF" w:rsidRPr="00DE624B">
        <w:t xml:space="preserve"> </w:t>
      </w:r>
      <w:r w:rsidR="006C3CA4" w:rsidRPr="00DE624B">
        <w:t>We’ve been working closely with ARCIC in its guidance for OE and currently participate with CASCOM at the Army OE Working Group.</w:t>
      </w:r>
      <w:r w:rsidR="00D62ECF" w:rsidRPr="00DE624B">
        <w:t xml:space="preserve"> </w:t>
      </w:r>
    </w:p>
    <w:p w14:paraId="2B002FFB" w14:textId="77777777" w:rsidR="00EB25E3" w:rsidRPr="00DE624B" w:rsidRDefault="00FB1D19" w:rsidP="00DE624B">
      <w:pPr>
        <w:pStyle w:val="BodyText"/>
      </w:pPr>
      <w:r w:rsidRPr="00DE624B">
        <w:t>Acme</w:t>
      </w:r>
      <w:r w:rsidR="00A26AB8" w:rsidRPr="00DE624B">
        <w:t xml:space="preserve"> currently produces </w:t>
      </w:r>
      <w:r w:rsidR="00EB25E3" w:rsidRPr="00DE624B">
        <w:t xml:space="preserve">more than </w:t>
      </w:r>
      <w:r w:rsidR="00A26AB8" w:rsidRPr="00DE624B">
        <w:t>800 analytical reports for OCPA and</w:t>
      </w:r>
      <w:r w:rsidR="006365A0" w:rsidRPr="00DE624B">
        <w:t xml:space="preserve"> U.S. Army Medical Command (</w:t>
      </w:r>
      <w:r w:rsidR="00A26AB8" w:rsidRPr="00DE624B">
        <w:t>MEDCOM</w:t>
      </w:r>
      <w:r w:rsidR="006365A0" w:rsidRPr="00DE624B">
        <w:t>)</w:t>
      </w:r>
      <w:r w:rsidR="00A26AB8" w:rsidRPr="00DE624B">
        <w:t xml:space="preserve"> annually.</w:t>
      </w:r>
      <w:r w:rsidR="00D62ECF" w:rsidRPr="00DE624B">
        <w:t xml:space="preserve"> </w:t>
      </w:r>
      <w:r w:rsidR="00A26AB8" w:rsidRPr="00DE624B">
        <w:t xml:space="preserve">Similarly, our OE </w:t>
      </w:r>
      <w:r w:rsidR="00D63765" w:rsidRPr="00DE624B">
        <w:t xml:space="preserve">advisors </w:t>
      </w:r>
      <w:r w:rsidR="00A26AB8" w:rsidRPr="00DE624B">
        <w:t xml:space="preserve">have produced dozens of strategic studies and analyses focused on the most pressing </w:t>
      </w:r>
      <w:r w:rsidR="006755AE" w:rsidRPr="00DE624B">
        <w:t>OE</w:t>
      </w:r>
      <w:r w:rsidR="00A26AB8" w:rsidRPr="00DE624B">
        <w:t xml:space="preserve"> issues of the day. </w:t>
      </w:r>
    </w:p>
    <w:p w14:paraId="2B002FFC" w14:textId="77777777" w:rsidR="00EB25E3" w:rsidRPr="00DE624B" w:rsidRDefault="00F56025" w:rsidP="00DE624B">
      <w:pPr>
        <w:pStyle w:val="BodyText"/>
      </w:pPr>
      <w:r w:rsidRPr="00DE624B">
        <w:rPr>
          <w:noProof/>
        </w:rPr>
        <mc:AlternateContent>
          <mc:Choice Requires="wps">
            <w:drawing>
              <wp:anchor distT="0" distB="0" distL="114300" distR="114300" simplePos="0" relativeHeight="251689984" behindDoc="0" locked="0" layoutInCell="1" allowOverlap="1" wp14:anchorId="2B003071" wp14:editId="2B003072">
                <wp:simplePos x="0" y="0"/>
                <wp:positionH relativeFrom="column">
                  <wp:posOffset>3895725</wp:posOffset>
                </wp:positionH>
                <wp:positionV relativeFrom="paragraph">
                  <wp:posOffset>826770</wp:posOffset>
                </wp:positionV>
                <wp:extent cx="1981200" cy="2171700"/>
                <wp:effectExtent l="57150" t="38100" r="76200" b="95250"/>
                <wp:wrapThrough wrapText="bothSides">
                  <wp:wrapPolygon edited="0">
                    <wp:start x="-623" y="-379"/>
                    <wp:lineTo x="-623" y="22358"/>
                    <wp:lineTo x="22015" y="22358"/>
                    <wp:lineTo x="22223" y="-379"/>
                    <wp:lineTo x="-623" y="-379"/>
                  </wp:wrapPolygon>
                </wp:wrapThrough>
                <wp:docPr id="37" name="Rectangle 37"/>
                <wp:cNvGraphicFramePr/>
                <a:graphic xmlns:a="http://schemas.openxmlformats.org/drawingml/2006/main">
                  <a:graphicData uri="http://schemas.microsoft.com/office/word/2010/wordprocessingShape">
                    <wps:wsp>
                      <wps:cNvSpPr/>
                      <wps:spPr>
                        <a:xfrm>
                          <a:off x="0" y="0"/>
                          <a:ext cx="1981200" cy="2171700"/>
                        </a:xfrm>
                        <a:prstGeom prst="rect">
                          <a:avLst/>
                        </a:prstGeom>
                        <a:gradFill flip="none" rotWithShape="1">
                          <a:gsLst>
                            <a:gs pos="0">
                              <a:schemeClr val="accent1">
                                <a:shade val="51000"/>
                                <a:satMod val="130000"/>
                                <a:alpha val="0"/>
                              </a:schemeClr>
                            </a:gs>
                            <a:gs pos="80000">
                              <a:schemeClr val="accent1">
                                <a:shade val="93000"/>
                                <a:satMod val="130000"/>
                                <a:alpha val="0"/>
                              </a:schemeClr>
                            </a:gs>
                            <a:gs pos="100000">
                              <a:schemeClr val="accent1">
                                <a:shade val="94000"/>
                                <a:satMod val="135000"/>
                                <a:alpha val="0"/>
                              </a:schemeClr>
                            </a:gs>
                          </a:gsLst>
                          <a:lin ang="16200000" scaled="0"/>
                          <a:tileRect/>
                        </a:gradFill>
                        <a:ln w="28575" cmpd="sng">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81B42" id="Rectangle 37" o:spid="_x0000_s1026" style="position:absolute;margin-left:306.75pt;margin-top:65.1pt;width:156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" fillcolor="#0a2e5f [1636]" strokecolor="#0f243e [1615]" strokeweight="2.25pt">
                <v:fill opacity="0" color2="#1254af [3012]" o:opacity2="0" rotate="t" angle="180" colors="0 #003e9e;52429f #0054ce;1 #0054d4" focus="100%" type="gradient">
                  <o:fill v:ext="view" type="gradientUnscaled"/>
                </v:fill>
                <v:shadow on="t" color="black" opacity="22937f" origin=",.5" offset="0,.63889mm"/>
                <w10:wrap type="through"/>
              </v:rect>
            </w:pict>
          </mc:Fallback>
        </mc:AlternateContent>
      </w:r>
      <w:r w:rsidRPr="00DE624B">
        <w:rPr>
          <w:noProof/>
        </w:rPr>
        <w:drawing>
          <wp:anchor distT="0" distB="0" distL="114300" distR="114300" simplePos="0" relativeHeight="251682816" behindDoc="0" locked="0" layoutInCell="1" allowOverlap="1" wp14:anchorId="2B003073" wp14:editId="2B003074">
            <wp:simplePos x="0" y="0"/>
            <wp:positionH relativeFrom="column">
              <wp:posOffset>3895725</wp:posOffset>
            </wp:positionH>
            <wp:positionV relativeFrom="paragraph">
              <wp:posOffset>824865</wp:posOffset>
            </wp:positionV>
            <wp:extent cx="1999615" cy="1492885"/>
            <wp:effectExtent l="0" t="0" r="635" b="0"/>
            <wp:wrapTight wrapText="bothSides">
              <wp:wrapPolygon edited="0">
                <wp:start x="0" y="0"/>
                <wp:lineTo x="0" y="21223"/>
                <wp:lineTo x="21401" y="21223"/>
                <wp:lineTo x="21401" y="0"/>
                <wp:lineTo x="0" y="0"/>
              </wp:wrapPolygon>
            </wp:wrapTight>
            <wp:docPr id="24" name="Picture 24" descr="Macintosh HD:Users:brandonbloodworth:Desktop:IMG_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brandonbloodworth:Desktop:IMG_0309.JPG"/>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999615" cy="14928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B25E3" w:rsidRPr="00DE624B">
        <w:t xml:space="preserve">Data collection is critical </w:t>
      </w:r>
      <w:r w:rsidR="00A26AB8" w:rsidRPr="00DE624B">
        <w:t xml:space="preserve">to this task of supporting studies and analysis. </w:t>
      </w:r>
      <w:r w:rsidR="008B3932" w:rsidRPr="00DE624B">
        <w:t>To accomplish this task</w:t>
      </w:r>
      <w:r w:rsidR="00EB25E3" w:rsidRPr="00DE624B">
        <w:t>,</w:t>
      </w:r>
      <w:r w:rsidR="008B3932" w:rsidRPr="00DE624B">
        <w:t xml:space="preserve"> we will continue to leverage information gained from our existing relationships with </w:t>
      </w:r>
      <w:r w:rsidR="00EB25E3" w:rsidRPr="00DE624B">
        <w:t xml:space="preserve">the currently deployed </w:t>
      </w:r>
      <w:r w:rsidR="008B3932" w:rsidRPr="00DE624B">
        <w:t xml:space="preserve">task forces. CASCOM gains </w:t>
      </w:r>
      <w:r w:rsidR="00EB25E3" w:rsidRPr="00DE624B">
        <w:t>real-</w:t>
      </w:r>
      <w:r w:rsidR="008B3932" w:rsidRPr="00DE624B">
        <w:t xml:space="preserve">time feedback on what is </w:t>
      </w:r>
      <w:r w:rsidR="00581D32" w:rsidRPr="00DE624B">
        <w:t xml:space="preserve">really </w:t>
      </w:r>
      <w:r w:rsidR="008B3932" w:rsidRPr="00DE624B">
        <w:t xml:space="preserve">happening on the </w:t>
      </w:r>
      <w:r w:rsidR="006365A0" w:rsidRPr="00DE624B">
        <w:t>OE</w:t>
      </w:r>
      <w:r w:rsidR="008B3932" w:rsidRPr="00DE624B">
        <w:t xml:space="preserve"> front in Afghanistan and other operational environments across the globe with the Army as well as</w:t>
      </w:r>
      <w:r w:rsidR="006365A0" w:rsidRPr="00DE624B">
        <w:t xml:space="preserve"> the U.S. Central Command (</w:t>
      </w:r>
      <w:r w:rsidR="008B3932" w:rsidRPr="00DE624B">
        <w:t>CENTCOM</w:t>
      </w:r>
      <w:r w:rsidR="006365A0" w:rsidRPr="00DE624B">
        <w:t>)</w:t>
      </w:r>
      <w:r w:rsidR="008B3932" w:rsidRPr="00DE624B">
        <w:t xml:space="preserve">, </w:t>
      </w:r>
      <w:r w:rsidR="006365A0" w:rsidRPr="00DE624B">
        <w:t>U.S. Southern Command (</w:t>
      </w:r>
      <w:r w:rsidR="008B3932" w:rsidRPr="00DE624B">
        <w:t>SOUTHCOM</w:t>
      </w:r>
      <w:r w:rsidR="006365A0" w:rsidRPr="00DE624B">
        <w:t>)</w:t>
      </w:r>
      <w:r w:rsidR="008B3932" w:rsidRPr="00DE624B">
        <w:t xml:space="preserve">, </w:t>
      </w:r>
      <w:r w:rsidR="006365A0" w:rsidRPr="00DE624B">
        <w:t>U.S. Africa Command (</w:t>
      </w:r>
      <w:r w:rsidR="008B3932" w:rsidRPr="00DE624B">
        <w:t>AFRICOM</w:t>
      </w:r>
      <w:r w:rsidR="006365A0" w:rsidRPr="00DE624B">
        <w:t>)</w:t>
      </w:r>
      <w:r w:rsidR="008B3932" w:rsidRPr="00DE624B">
        <w:t xml:space="preserve">, </w:t>
      </w:r>
      <w:r w:rsidR="006365A0" w:rsidRPr="00DE624B">
        <w:t>United States European Command (</w:t>
      </w:r>
      <w:r w:rsidR="008B3932" w:rsidRPr="00DE624B">
        <w:t>EUCOM</w:t>
      </w:r>
      <w:r w:rsidR="006365A0" w:rsidRPr="00DE624B">
        <w:t>)</w:t>
      </w:r>
      <w:r w:rsidR="008B3932" w:rsidRPr="00DE624B">
        <w:t xml:space="preserve">, and </w:t>
      </w:r>
      <w:r w:rsidR="006365A0" w:rsidRPr="00DE624B">
        <w:t>International Security Assistance Force (</w:t>
      </w:r>
      <w:r w:rsidR="008B3932" w:rsidRPr="00DE624B">
        <w:t>ISAF</w:t>
      </w:r>
      <w:r w:rsidR="006365A0" w:rsidRPr="00DE624B">
        <w:t>)</w:t>
      </w:r>
      <w:r w:rsidR="008B3932" w:rsidRPr="00DE624B">
        <w:t xml:space="preserve">. </w:t>
      </w:r>
    </w:p>
    <w:p w14:paraId="2B002FFD" w14:textId="77777777" w:rsidR="008C4E7E" w:rsidRPr="00DE624B" w:rsidRDefault="00F56025" w:rsidP="00DE624B">
      <w:pPr>
        <w:pStyle w:val="BodyText"/>
      </w:pPr>
      <w:r w:rsidRPr="00DE624B">
        <w:rPr>
          <w:noProof/>
        </w:rPr>
        <w:lastRenderedPageBreak/>
        <mc:AlternateContent>
          <mc:Choice Requires="wps">
            <w:drawing>
              <wp:anchor distT="0" distB="0" distL="114300" distR="114300" simplePos="0" relativeHeight="251688960" behindDoc="0" locked="0" layoutInCell="1" allowOverlap="1" wp14:anchorId="2B003075" wp14:editId="2B003076">
                <wp:simplePos x="0" y="0"/>
                <wp:positionH relativeFrom="column">
                  <wp:posOffset>3886200</wp:posOffset>
                </wp:positionH>
                <wp:positionV relativeFrom="paragraph">
                  <wp:posOffset>508635</wp:posOffset>
                </wp:positionV>
                <wp:extent cx="1981200" cy="6858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1981200" cy="685800"/>
                        </a:xfrm>
                        <a:prstGeom prst="rect">
                          <a:avLst/>
                        </a:prstGeom>
                        <a:solidFill>
                          <a:schemeClr val="tx2">
                            <a:lumMod val="5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00308C" w14:textId="77777777" w:rsidR="0091138F" w:rsidRPr="000A493D" w:rsidRDefault="0091138F" w:rsidP="00C6471F">
                            <w:pPr>
                              <w:jc w:val="center"/>
                              <w:rPr>
                                <w:color w:val="F2F2F2" w:themeColor="background1" w:themeShade="F2"/>
                                <w:sz w:val="20"/>
                                <w:szCs w:val="20"/>
                              </w:rPr>
                            </w:pPr>
                            <w:r w:rsidRPr="000A493D">
                              <w:rPr>
                                <w:color w:val="F2F2F2" w:themeColor="background1" w:themeShade="F2"/>
                                <w:sz w:val="20"/>
                                <w:szCs w:val="20"/>
                              </w:rPr>
                              <w:t xml:space="preserve">In support of baseline assessments and OE measurement, </w:t>
                            </w:r>
                            <w:r w:rsidR="00FB1D19">
                              <w:rPr>
                                <w:color w:val="F2F2F2" w:themeColor="background1" w:themeShade="F2"/>
                                <w:sz w:val="20"/>
                                <w:szCs w:val="20"/>
                              </w:rPr>
                              <w:t>Acme</w:t>
                            </w:r>
                            <w:r w:rsidRPr="000A493D">
                              <w:rPr>
                                <w:color w:val="F2F2F2" w:themeColor="background1" w:themeShade="F2"/>
                                <w:sz w:val="20"/>
                                <w:szCs w:val="20"/>
                              </w:rPr>
                              <w:t xml:space="preserve"> introduced data loggers to reliably measure against key 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03075" id="Text Box 36" o:spid="_x0000_s1028" type="#_x0000_t202" style="position:absolute;margin-left:306pt;margin-top:40.05pt;width:156pt;height:5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" fillcolor="#0f243e [1615]" stroked="f">
                <v:textbox>
                  <w:txbxContent>
                    <w:p w14:paraId="2B00308C" w14:textId="77777777" w:rsidR="0091138F" w:rsidRPr="000A493D" w:rsidRDefault="0091138F" w:rsidP="00C6471F">
                      <w:pPr>
                        <w:jc w:val="center"/>
                        <w:rPr>
                          <w:color w:val="F2F2F2" w:themeColor="background1" w:themeShade="F2"/>
                          <w:sz w:val="20"/>
                          <w:szCs w:val="20"/>
                        </w:rPr>
                      </w:pPr>
                      <w:r w:rsidRPr="000A493D">
                        <w:rPr>
                          <w:color w:val="F2F2F2" w:themeColor="background1" w:themeShade="F2"/>
                          <w:sz w:val="20"/>
                          <w:szCs w:val="20"/>
                        </w:rPr>
                        <w:t xml:space="preserve">In support of baseline assessments and OE measurement, </w:t>
                      </w:r>
                      <w:r w:rsidR="00FB1D19">
                        <w:rPr>
                          <w:color w:val="F2F2F2" w:themeColor="background1" w:themeShade="F2"/>
                          <w:sz w:val="20"/>
                          <w:szCs w:val="20"/>
                        </w:rPr>
                        <w:t>Acme</w:t>
                      </w:r>
                      <w:r w:rsidRPr="000A493D">
                        <w:rPr>
                          <w:color w:val="F2F2F2" w:themeColor="background1" w:themeShade="F2"/>
                          <w:sz w:val="20"/>
                          <w:szCs w:val="20"/>
                        </w:rPr>
                        <w:t xml:space="preserve"> introduced data loggers to reliably measure against key indicators.</w:t>
                      </w:r>
                    </w:p>
                  </w:txbxContent>
                </v:textbox>
                <w10:wrap type="square"/>
              </v:shape>
            </w:pict>
          </mc:Fallback>
        </mc:AlternateContent>
      </w:r>
      <w:r w:rsidR="006755AE" w:rsidRPr="00DE624B">
        <w:t>In</w:t>
      </w:r>
      <w:r w:rsidR="00B34DAA" w:rsidRPr="00DE624B">
        <w:t xml:space="preserve"> addition to the individuals directly assigned to this project, Team </w:t>
      </w:r>
      <w:r w:rsidR="00FB1D19" w:rsidRPr="00DE624B">
        <w:t>Acme</w:t>
      </w:r>
      <w:r w:rsidR="00B34DAA" w:rsidRPr="00DE624B">
        <w:t xml:space="preserve"> possesses deep corporate expertise in intelligence collection and analysis, organizational assessment, and relevant social and behavioral sciences. </w:t>
      </w:r>
      <w:r w:rsidR="00FB1D19" w:rsidRPr="00DE624B">
        <w:t>Acme</w:t>
      </w:r>
      <w:r w:rsidR="00D17673" w:rsidRPr="00DE624B">
        <w:t xml:space="preserve"> has a proven track record and past performance</w:t>
      </w:r>
      <w:r w:rsidR="00286034" w:rsidRPr="00DE624B">
        <w:t xml:space="preserve"> in data collection and fusion, analysis</w:t>
      </w:r>
      <w:r w:rsidR="006755AE" w:rsidRPr="00DE624B">
        <w:t>,</w:t>
      </w:r>
      <w:r w:rsidR="00286034" w:rsidRPr="00DE624B">
        <w:t xml:space="preserve"> and command recommendations.</w:t>
      </w:r>
      <w:r w:rsidR="00D62ECF" w:rsidRPr="00DE624B">
        <w:t xml:space="preserve"> </w:t>
      </w:r>
      <w:r w:rsidR="00286034" w:rsidRPr="00DE624B">
        <w:t>We have done this type of work at the Service, Joint</w:t>
      </w:r>
      <w:r w:rsidR="006755AE" w:rsidRPr="00DE624B">
        <w:t>,</w:t>
      </w:r>
      <w:r w:rsidR="00286034" w:rsidRPr="00DE624B">
        <w:t xml:space="preserve"> and National levels of command.</w:t>
      </w:r>
      <w:r w:rsidR="00D62ECF" w:rsidRPr="00DE624B">
        <w:t xml:space="preserve"> </w:t>
      </w:r>
      <w:r w:rsidR="006755AE" w:rsidRPr="00DE624B">
        <w:t>Our experienced staff will</w:t>
      </w:r>
      <w:r w:rsidR="00286034" w:rsidRPr="00DE624B">
        <w:t xml:space="preserve"> work under a</w:t>
      </w:r>
      <w:r w:rsidR="006755AE" w:rsidRPr="00DE624B">
        <w:t>n</w:t>
      </w:r>
      <w:r w:rsidR="00286034" w:rsidRPr="00DE624B">
        <w:t xml:space="preserve"> OE Program management leader and organizational structure to address all study and analysis performance work requirements and deliverables.</w:t>
      </w:r>
    </w:p>
    <w:p w14:paraId="2B002FFE" w14:textId="77777777" w:rsidR="00931E8D" w:rsidRPr="00DE624B" w:rsidRDefault="00931E8D" w:rsidP="00DE624B">
      <w:pPr>
        <w:rPr>
          <w:b/>
        </w:rPr>
      </w:pPr>
      <w:r w:rsidRPr="00DE624B">
        <w:rPr>
          <w:b/>
        </w:rPr>
        <w:t>Ability and methodology to meet the minimum requirements:</w:t>
      </w:r>
    </w:p>
    <w:p w14:paraId="2B002FFF" w14:textId="77777777" w:rsidR="009B3F1A" w:rsidRPr="00DE624B" w:rsidRDefault="003B722A" w:rsidP="00DE624B">
      <w:r w:rsidRPr="00DE624B">
        <w:t>We will provide scientific, technical, and professional expertise through our staffing solution that includes Army and J</w:t>
      </w:r>
      <w:r w:rsidR="006755AE" w:rsidRPr="00DE624B">
        <w:t>oint logisticians and</w:t>
      </w:r>
      <w:r w:rsidRPr="00DE624B">
        <w:t xml:space="preserve"> OE advisors</w:t>
      </w:r>
      <w:r w:rsidR="006755AE" w:rsidRPr="00DE624B">
        <w:t xml:space="preserve">. We will </w:t>
      </w:r>
      <w:r w:rsidRPr="00DE624B">
        <w:t>enable their collective insights through data management solutions</w:t>
      </w:r>
      <w:r w:rsidR="00C6471F" w:rsidRPr="00DE624B">
        <w:t xml:space="preserve"> and tools</w:t>
      </w:r>
      <w:r w:rsidRPr="00DE624B">
        <w:t xml:space="preserve">, visualization, and open source information to maintain their expertise in these fields. </w:t>
      </w:r>
      <w:r w:rsidR="004C1076" w:rsidRPr="00DE624B">
        <w:t>We currently provide this support in the context of the Army Functional Concept Framework, ACP, ARCIC, and TRADOC guidance</w:t>
      </w:r>
      <w:r w:rsidR="008C4E7E" w:rsidRPr="00DE624B">
        <w:t>,</w:t>
      </w:r>
      <w:r w:rsidR="004C1076" w:rsidRPr="00DE624B">
        <w:t xml:space="preserve"> and will continue to do so. </w:t>
      </w:r>
      <w:r w:rsidR="009B3F1A" w:rsidRPr="00DE624B">
        <w:t>Our active and passive data collection methodology describes how our staff will research, analyze, and draft products. Our significant inflow of information,</w:t>
      </w:r>
      <w:r w:rsidR="008C4E7E" w:rsidRPr="00DE624B">
        <w:t xml:space="preserve"> and</w:t>
      </w:r>
      <w:r w:rsidR="009B3F1A" w:rsidRPr="00DE624B">
        <w:t xml:space="preserve"> understanding how to manage it as an integrated </w:t>
      </w:r>
      <w:r w:rsidR="00C6471F" w:rsidRPr="00DE624B">
        <w:t>team</w:t>
      </w:r>
      <w:r w:rsidR="008C4E7E" w:rsidRPr="00DE624B">
        <w:t>,</w:t>
      </w:r>
      <w:r w:rsidR="00C6471F" w:rsidRPr="00DE624B">
        <w:t xml:space="preserve"> </w:t>
      </w:r>
      <w:r w:rsidR="009B3F1A" w:rsidRPr="00DE624B">
        <w:t xml:space="preserve">will streamline our production process for concept papers, briefings, and white papers on </w:t>
      </w:r>
      <w:r w:rsidR="004807B5" w:rsidRPr="00DE624B">
        <w:t>Capability Based Analysis (CBA)</w:t>
      </w:r>
      <w:r w:rsidR="009B3F1A" w:rsidRPr="00DE624B">
        <w:t xml:space="preserve"> that lead to </w:t>
      </w:r>
      <w:r w:rsidR="00187B0F" w:rsidRPr="00DE624B">
        <w:t>DOTMLPF Integrated Capabilities Recommendations (DICR).</w:t>
      </w:r>
      <w:r w:rsidR="00D62ECF" w:rsidRPr="00DE624B">
        <w:t xml:space="preserve"> </w:t>
      </w:r>
    </w:p>
    <w:p w14:paraId="2B003000" w14:textId="77777777" w:rsidR="006755AE" w:rsidRPr="00DE624B" w:rsidRDefault="006755AE" w:rsidP="00DE624B"/>
    <w:p w14:paraId="2B003001" w14:textId="77777777" w:rsidR="00F56025" w:rsidRPr="00DE624B" w:rsidRDefault="006755AE" w:rsidP="00DE624B">
      <w:pPr>
        <w:pStyle w:val="BodyText"/>
      </w:pPr>
      <w:r w:rsidRPr="00DE624B">
        <w:t xml:space="preserve">Our </w:t>
      </w:r>
      <w:r w:rsidRPr="00DE624B">
        <w:rPr>
          <w:b/>
          <w:i/>
        </w:rPr>
        <w:t>robust current and historical data collection and market research will inform our team supporting CASCOM</w:t>
      </w:r>
      <w:r w:rsidR="00E02F2E" w:rsidRPr="00DE624B">
        <w:rPr>
          <w:b/>
          <w:i/>
        </w:rPr>
        <w:t>,</w:t>
      </w:r>
      <w:r w:rsidRPr="00DE624B">
        <w:rPr>
          <w:b/>
          <w:i/>
        </w:rPr>
        <w:t xml:space="preserve"> and provide an unparalleled relevance to the OE Cell and OE capability development</w:t>
      </w:r>
      <w:r w:rsidRPr="00DE624B">
        <w:t xml:space="preserve">. We will use active and passive data collection to maintain subject matter expertise on OE for our DOD clients. </w:t>
      </w:r>
      <w:r w:rsidRPr="00DE624B">
        <w:rPr>
          <w:b/>
        </w:rPr>
        <w:t>Table 1.2-1</w:t>
      </w:r>
      <w:r w:rsidRPr="00DE624B">
        <w:t xml:space="preserve"> outlines our various research methods that have proven effective, are archived, and will add additional value to the team supporting CASCOM. We will share and archive all insights and lessons learned within our OE database. </w:t>
      </w:r>
    </w:p>
    <w:p w14:paraId="2B003002" w14:textId="77777777" w:rsidR="00F56025" w:rsidRPr="00DE624B" w:rsidRDefault="00F56025" w:rsidP="00DE624B">
      <w:pPr>
        <w:pStyle w:val="Caption"/>
        <w:ind w:right="0"/>
        <w:rPr>
          <w:rFonts w:ascii="Times New Roman" w:hAnsi="Times New Roman"/>
          <w:b/>
          <w:sz w:val="24"/>
        </w:rPr>
      </w:pPr>
    </w:p>
    <w:p w14:paraId="2B003003" w14:textId="77777777" w:rsidR="006755AE" w:rsidRPr="00DE624B" w:rsidRDefault="006755AE" w:rsidP="00DE624B">
      <w:pPr>
        <w:pStyle w:val="Caption"/>
        <w:ind w:right="0"/>
        <w:rPr>
          <w:rFonts w:ascii="Times New Roman" w:hAnsi="Times New Roman"/>
          <w:sz w:val="24"/>
        </w:rPr>
      </w:pPr>
      <w:r w:rsidRPr="00DE624B">
        <w:rPr>
          <w:rFonts w:ascii="Times New Roman" w:hAnsi="Times New Roman"/>
          <w:b/>
          <w:sz w:val="24"/>
        </w:rPr>
        <w:t xml:space="preserve">Table 1.2-1. </w:t>
      </w:r>
      <w:r w:rsidRPr="00DE624B">
        <w:rPr>
          <w:rFonts w:ascii="Times New Roman" w:hAnsi="Times New Roman"/>
          <w:sz w:val="24"/>
        </w:rPr>
        <w:t xml:space="preserve">Research Methods. </w:t>
      </w:r>
    </w:p>
    <w:tbl>
      <w:tblPr>
        <w:tblStyle w:val="OCPATable"/>
        <w:tblW w:w="0" w:type="auto"/>
        <w:tblLayout w:type="fixed"/>
        <w:tblLook w:val="04A0" w:firstRow="1" w:lastRow="0" w:firstColumn="1" w:lastColumn="0" w:noHBand="0" w:noVBand="1"/>
      </w:tblPr>
      <w:tblGrid>
        <w:gridCol w:w="1458"/>
        <w:gridCol w:w="990"/>
        <w:gridCol w:w="7128"/>
      </w:tblGrid>
      <w:tr w:rsidR="006755AE" w:rsidRPr="00DE624B" w14:paraId="2B003008" w14:textId="77777777" w:rsidTr="007D5286">
        <w:trPr>
          <w:cnfStyle w:val="100000000000" w:firstRow="1" w:lastRow="0" w:firstColumn="0" w:lastColumn="0" w:oddVBand="0" w:evenVBand="0" w:oddHBand="0" w:evenHBand="0" w:firstRowFirstColumn="0" w:firstRowLastColumn="0" w:lastRowFirstColumn="0" w:lastRowLastColumn="0"/>
          <w:tblHeader/>
        </w:trPr>
        <w:tc>
          <w:tcPr>
            <w:tcW w:w="1458" w:type="dxa"/>
          </w:tcPr>
          <w:p w14:paraId="2B003004" w14:textId="77777777" w:rsidR="006755AE" w:rsidRPr="00DE624B" w:rsidRDefault="006755AE" w:rsidP="00DE624B">
            <w:pPr>
              <w:pStyle w:val="BodyText"/>
              <w:rPr>
                <w:rFonts w:ascii="Times New Roman" w:hAnsi="Times New Roman"/>
              </w:rPr>
            </w:pPr>
            <w:r w:rsidRPr="00DE624B">
              <w:rPr>
                <w:rFonts w:ascii="Times New Roman" w:hAnsi="Times New Roman"/>
              </w:rPr>
              <w:t>Method or Source</w:t>
            </w:r>
          </w:p>
        </w:tc>
        <w:tc>
          <w:tcPr>
            <w:tcW w:w="990" w:type="dxa"/>
          </w:tcPr>
          <w:p w14:paraId="2B003005" w14:textId="77777777" w:rsidR="006755AE" w:rsidRPr="00DE624B" w:rsidRDefault="006755AE" w:rsidP="00DE624B">
            <w:pPr>
              <w:pStyle w:val="BodyText"/>
              <w:spacing w:after="0"/>
              <w:rPr>
                <w:rFonts w:ascii="Times New Roman" w:hAnsi="Times New Roman"/>
              </w:rPr>
            </w:pPr>
            <w:r w:rsidRPr="00DE624B">
              <w:rPr>
                <w:rFonts w:ascii="Times New Roman" w:hAnsi="Times New Roman"/>
              </w:rPr>
              <w:t>Passive/</w:t>
            </w:r>
          </w:p>
          <w:p w14:paraId="2B003006" w14:textId="77777777" w:rsidR="006755AE" w:rsidRPr="00DE624B" w:rsidRDefault="006755AE" w:rsidP="00DE624B">
            <w:pPr>
              <w:pStyle w:val="BodyText"/>
              <w:spacing w:after="0"/>
              <w:rPr>
                <w:rFonts w:ascii="Times New Roman" w:hAnsi="Times New Roman"/>
              </w:rPr>
            </w:pPr>
            <w:r w:rsidRPr="00DE624B">
              <w:rPr>
                <w:rFonts w:ascii="Times New Roman" w:hAnsi="Times New Roman"/>
              </w:rPr>
              <w:t>Active</w:t>
            </w:r>
          </w:p>
        </w:tc>
        <w:tc>
          <w:tcPr>
            <w:tcW w:w="7128" w:type="dxa"/>
          </w:tcPr>
          <w:p w14:paraId="2B003007" w14:textId="77777777" w:rsidR="006755AE" w:rsidRPr="00DE624B" w:rsidRDefault="006755AE" w:rsidP="00DE624B">
            <w:pPr>
              <w:pStyle w:val="BodyText"/>
              <w:rPr>
                <w:rFonts w:ascii="Times New Roman" w:hAnsi="Times New Roman"/>
              </w:rPr>
            </w:pPr>
            <w:r w:rsidRPr="00DE624B">
              <w:rPr>
                <w:rFonts w:ascii="Times New Roman" w:hAnsi="Times New Roman"/>
              </w:rPr>
              <w:t>Benefit</w:t>
            </w:r>
          </w:p>
        </w:tc>
      </w:tr>
      <w:tr w:rsidR="006755AE" w:rsidRPr="00DE624B" w14:paraId="2B00300D" w14:textId="77777777" w:rsidTr="00156B94">
        <w:trPr>
          <w:cnfStyle w:val="000000100000" w:firstRow="0" w:lastRow="0" w:firstColumn="0" w:lastColumn="0" w:oddVBand="0" w:evenVBand="0" w:oddHBand="1" w:evenHBand="0" w:firstRowFirstColumn="0" w:firstRowLastColumn="0" w:lastRowFirstColumn="0" w:lastRowLastColumn="0"/>
        </w:trPr>
        <w:tc>
          <w:tcPr>
            <w:tcW w:w="1458" w:type="dxa"/>
            <w:shd w:val="clear" w:color="auto" w:fill="DDD9C3"/>
          </w:tcPr>
          <w:p w14:paraId="2B003009" w14:textId="77777777" w:rsidR="006755AE" w:rsidRPr="00DE624B" w:rsidRDefault="006755AE" w:rsidP="00DE624B">
            <w:pPr>
              <w:pStyle w:val="BodyText"/>
              <w:rPr>
                <w:b/>
                <w:i/>
                <w:sz w:val="24"/>
              </w:rPr>
            </w:pPr>
            <w:r w:rsidRPr="00DE624B">
              <w:rPr>
                <w:b/>
                <w:i/>
                <w:sz w:val="24"/>
              </w:rPr>
              <w:t>Conferences/</w:t>
            </w:r>
          </w:p>
          <w:p w14:paraId="2B00300A" w14:textId="77777777" w:rsidR="006755AE" w:rsidRPr="00DE624B" w:rsidRDefault="006755AE" w:rsidP="00DE624B">
            <w:pPr>
              <w:pStyle w:val="BodyText"/>
              <w:rPr>
                <w:b/>
                <w:i/>
                <w:sz w:val="24"/>
              </w:rPr>
            </w:pPr>
            <w:r w:rsidRPr="00DE624B">
              <w:rPr>
                <w:b/>
                <w:i/>
                <w:sz w:val="24"/>
              </w:rPr>
              <w:t>events</w:t>
            </w:r>
          </w:p>
        </w:tc>
        <w:tc>
          <w:tcPr>
            <w:tcW w:w="990" w:type="dxa"/>
            <w:shd w:val="clear" w:color="auto" w:fill="DDD9C3"/>
          </w:tcPr>
          <w:p w14:paraId="2B00300B" w14:textId="77777777" w:rsidR="006755AE" w:rsidRPr="00DE624B" w:rsidRDefault="006755AE" w:rsidP="00DE624B">
            <w:pPr>
              <w:pStyle w:val="BodyText"/>
              <w:rPr>
                <w:sz w:val="24"/>
              </w:rPr>
            </w:pPr>
            <w:r w:rsidRPr="00DE624B">
              <w:rPr>
                <w:sz w:val="24"/>
              </w:rPr>
              <w:t>Active</w:t>
            </w:r>
          </w:p>
        </w:tc>
        <w:tc>
          <w:tcPr>
            <w:tcW w:w="7128" w:type="dxa"/>
            <w:shd w:val="clear" w:color="auto" w:fill="DDD9C3"/>
          </w:tcPr>
          <w:p w14:paraId="2B00300C" w14:textId="77777777" w:rsidR="006755AE" w:rsidRPr="00DE624B" w:rsidRDefault="00FB1D19" w:rsidP="00DE624B">
            <w:pPr>
              <w:pStyle w:val="BodyText"/>
              <w:rPr>
                <w:sz w:val="24"/>
              </w:rPr>
            </w:pPr>
            <w:r w:rsidRPr="00DE624B">
              <w:rPr>
                <w:sz w:val="24"/>
              </w:rPr>
              <w:t>Acme</w:t>
            </w:r>
            <w:r w:rsidR="006755AE" w:rsidRPr="00DE624B">
              <w:rPr>
                <w:sz w:val="24"/>
              </w:rPr>
              <w:t xml:space="preserve"> regularly attends or speaks at leading OE-relevant forums and conferences, including NDIA’s E2E, Arizona State University (ASU), Virginia Tech, </w:t>
            </w:r>
            <w:proofErr w:type="spellStart"/>
            <w:r w:rsidR="006755AE" w:rsidRPr="00DE624B">
              <w:rPr>
                <w:sz w:val="24"/>
              </w:rPr>
              <w:t>GovEnergy</w:t>
            </w:r>
            <w:proofErr w:type="spellEnd"/>
            <w:r w:rsidR="006755AE" w:rsidRPr="00DE624B">
              <w:rPr>
                <w:sz w:val="24"/>
              </w:rPr>
              <w:t>, REF Expo at the Pentagon, Winter and Annual AUSA, and more.</w:t>
            </w:r>
          </w:p>
        </w:tc>
      </w:tr>
      <w:tr w:rsidR="006755AE" w:rsidRPr="00DE624B" w14:paraId="2B003011" w14:textId="77777777" w:rsidTr="007D5286">
        <w:trPr>
          <w:cnfStyle w:val="000000010000" w:firstRow="0" w:lastRow="0" w:firstColumn="0" w:lastColumn="0" w:oddVBand="0" w:evenVBand="0" w:oddHBand="0" w:evenHBand="1" w:firstRowFirstColumn="0" w:firstRowLastColumn="0" w:lastRowFirstColumn="0" w:lastRowLastColumn="0"/>
        </w:trPr>
        <w:tc>
          <w:tcPr>
            <w:tcW w:w="1458" w:type="dxa"/>
          </w:tcPr>
          <w:p w14:paraId="2B00300E" w14:textId="77777777" w:rsidR="006755AE" w:rsidRPr="00DE624B" w:rsidRDefault="006755AE" w:rsidP="00DE624B">
            <w:pPr>
              <w:pStyle w:val="BodyText"/>
              <w:rPr>
                <w:b/>
                <w:i/>
                <w:sz w:val="24"/>
              </w:rPr>
            </w:pPr>
            <w:r w:rsidRPr="00DE624B">
              <w:rPr>
                <w:b/>
                <w:i/>
                <w:sz w:val="24"/>
              </w:rPr>
              <w:lastRenderedPageBreak/>
              <w:t>Academia &amp; National Labs</w:t>
            </w:r>
          </w:p>
        </w:tc>
        <w:tc>
          <w:tcPr>
            <w:tcW w:w="990" w:type="dxa"/>
          </w:tcPr>
          <w:p w14:paraId="2B00300F" w14:textId="77777777" w:rsidR="006755AE" w:rsidRPr="00DE624B" w:rsidRDefault="006755AE" w:rsidP="00DE624B">
            <w:pPr>
              <w:pStyle w:val="BodyText"/>
              <w:rPr>
                <w:sz w:val="24"/>
              </w:rPr>
            </w:pPr>
            <w:r w:rsidRPr="00DE624B">
              <w:rPr>
                <w:sz w:val="24"/>
              </w:rPr>
              <w:t>Active</w:t>
            </w:r>
          </w:p>
        </w:tc>
        <w:tc>
          <w:tcPr>
            <w:tcW w:w="7128" w:type="dxa"/>
          </w:tcPr>
          <w:p w14:paraId="2B003010" w14:textId="77777777" w:rsidR="006755AE" w:rsidRPr="00DE624B" w:rsidRDefault="006755AE" w:rsidP="00DE624B">
            <w:pPr>
              <w:pStyle w:val="BodyText"/>
              <w:rPr>
                <w:sz w:val="24"/>
              </w:rPr>
            </w:pPr>
            <w:r w:rsidRPr="00DE624B">
              <w:rPr>
                <w:sz w:val="24"/>
              </w:rPr>
              <w:t>We leverage relationships with several universities and all the National Labs from working together for the last 5 years on OE-related challenges.</w:t>
            </w:r>
          </w:p>
        </w:tc>
      </w:tr>
      <w:tr w:rsidR="006755AE" w:rsidRPr="00DE624B" w14:paraId="2B003015" w14:textId="77777777" w:rsidTr="00156B94">
        <w:trPr>
          <w:cnfStyle w:val="000000100000" w:firstRow="0" w:lastRow="0" w:firstColumn="0" w:lastColumn="0" w:oddVBand="0" w:evenVBand="0" w:oddHBand="1" w:evenHBand="0" w:firstRowFirstColumn="0" w:firstRowLastColumn="0" w:lastRowFirstColumn="0" w:lastRowLastColumn="0"/>
        </w:trPr>
        <w:tc>
          <w:tcPr>
            <w:tcW w:w="1458" w:type="dxa"/>
            <w:shd w:val="clear" w:color="auto" w:fill="DDD9C3"/>
          </w:tcPr>
          <w:p w14:paraId="2B003012" w14:textId="77777777" w:rsidR="006755AE" w:rsidRPr="00DE624B" w:rsidRDefault="006755AE" w:rsidP="00DE624B">
            <w:pPr>
              <w:pStyle w:val="BodyText"/>
              <w:rPr>
                <w:b/>
                <w:i/>
                <w:sz w:val="24"/>
              </w:rPr>
            </w:pPr>
            <w:r w:rsidRPr="00DE624B">
              <w:rPr>
                <w:b/>
                <w:i/>
                <w:sz w:val="24"/>
              </w:rPr>
              <w:t>Industry engagement</w:t>
            </w:r>
          </w:p>
        </w:tc>
        <w:tc>
          <w:tcPr>
            <w:tcW w:w="990" w:type="dxa"/>
            <w:shd w:val="clear" w:color="auto" w:fill="DDD9C3"/>
          </w:tcPr>
          <w:p w14:paraId="2B003013" w14:textId="77777777" w:rsidR="006755AE" w:rsidRPr="00DE624B" w:rsidRDefault="006755AE" w:rsidP="00DE624B">
            <w:pPr>
              <w:pStyle w:val="BodyText"/>
              <w:rPr>
                <w:sz w:val="24"/>
              </w:rPr>
            </w:pPr>
            <w:r w:rsidRPr="00DE624B">
              <w:rPr>
                <w:sz w:val="24"/>
              </w:rPr>
              <w:t>Active</w:t>
            </w:r>
          </w:p>
        </w:tc>
        <w:tc>
          <w:tcPr>
            <w:tcW w:w="7128" w:type="dxa"/>
            <w:shd w:val="clear" w:color="auto" w:fill="DDD9C3"/>
          </w:tcPr>
          <w:p w14:paraId="2B003014" w14:textId="77777777" w:rsidR="006755AE" w:rsidRPr="00DE624B" w:rsidRDefault="00FB1D19" w:rsidP="00DE624B">
            <w:pPr>
              <w:pStyle w:val="BodyText"/>
              <w:rPr>
                <w:sz w:val="24"/>
              </w:rPr>
            </w:pPr>
            <w:r w:rsidRPr="00DE624B">
              <w:rPr>
                <w:sz w:val="24"/>
              </w:rPr>
              <w:t>Acme</w:t>
            </w:r>
            <w:r w:rsidR="006755AE" w:rsidRPr="00DE624B">
              <w:rPr>
                <w:sz w:val="24"/>
              </w:rPr>
              <w:t xml:space="preserve"> brings due diligence from direct testing for more than 450 technologies to stay on the cutting edge of technological innovations.</w:t>
            </w:r>
          </w:p>
        </w:tc>
      </w:tr>
    </w:tbl>
    <w:p w14:paraId="2B003016" w14:textId="77777777" w:rsidR="006755AE" w:rsidRPr="00DE624B" w:rsidRDefault="006755AE" w:rsidP="00DE624B">
      <w:pPr>
        <w:pStyle w:val="BodyText"/>
        <w:rPr>
          <w:color w:val="FF0000"/>
        </w:rPr>
      </w:pPr>
    </w:p>
    <w:p w14:paraId="2B003017" w14:textId="77777777" w:rsidR="006755AE" w:rsidRPr="00DE624B" w:rsidRDefault="00FB1D19" w:rsidP="00DE624B">
      <w:pPr>
        <w:pStyle w:val="BodyText"/>
      </w:pPr>
      <w:r w:rsidRPr="00DE624B">
        <w:t>Acme</w:t>
      </w:r>
      <w:r w:rsidR="006755AE" w:rsidRPr="00DE624B">
        <w:t xml:space="preserve"> OE staff employed for this work effort includes </w:t>
      </w:r>
      <w:r w:rsidR="003973E6" w:rsidRPr="00DE624B">
        <w:t>several</w:t>
      </w:r>
      <w:r w:rsidR="006755AE" w:rsidRPr="00DE624B">
        <w:t xml:space="preserve"> former Army officers </w:t>
      </w:r>
      <w:r w:rsidR="003973E6" w:rsidRPr="00DE624B">
        <w:t xml:space="preserve">and NCOs </w:t>
      </w:r>
      <w:r w:rsidR="006755AE" w:rsidRPr="00DE624B">
        <w:t>with multiple deployments experience in support of Army and Joint logistics operations, and advanced degrees</w:t>
      </w:r>
      <w:r w:rsidR="003973E6" w:rsidRPr="00DE624B">
        <w:t xml:space="preserve"> in engineering</w:t>
      </w:r>
      <w:r w:rsidR="006755AE" w:rsidRPr="00DE624B">
        <w:t xml:space="preserve">. In addition, other staff members possess relevant certificates in areas like basic solar installation, building energy efficiency, civilian electrical installation credentials, and more. </w:t>
      </w:r>
    </w:p>
    <w:p w14:paraId="2B003018" w14:textId="77777777" w:rsidR="006755AE" w:rsidRPr="00DE624B" w:rsidRDefault="006755AE" w:rsidP="00DE624B">
      <w:pPr>
        <w:pStyle w:val="BodyText"/>
      </w:pPr>
      <w:r w:rsidRPr="00DE624B">
        <w:t xml:space="preserve">The program management team is comprised of senior managers who have developed </w:t>
      </w:r>
      <w:r w:rsidR="003973E6" w:rsidRPr="00DE624B">
        <w:t>numerous</w:t>
      </w:r>
      <w:r w:rsidRPr="00DE624B">
        <w:t xml:space="preserve"> products under the Army Functional Concept Framework documentation process. They developed these products for specific support of ARCIC and TRADOC efforts to support the Army Campaign Plan. </w:t>
      </w:r>
      <w:r w:rsidR="00FB1D19" w:rsidRPr="00DE624B">
        <w:t>Acme</w:t>
      </w:r>
      <w:r w:rsidRPr="00DE624B">
        <w:t xml:space="preserve"> will leverage a</w:t>
      </w:r>
      <w:r w:rsidR="003973E6" w:rsidRPr="00DE624B">
        <w:t xml:space="preserve">t least six </w:t>
      </w:r>
      <w:r w:rsidRPr="00DE624B">
        <w:t>tools and data collection methods matured from other work efforts. We will incorporate them in</w:t>
      </w:r>
      <w:r w:rsidR="00DA44EA" w:rsidRPr="00DE624B">
        <w:t xml:space="preserve">to the OE team to provide an </w:t>
      </w:r>
      <w:r w:rsidRPr="00DE624B">
        <w:t xml:space="preserve">analysis and knowledge management framework. This will help ensure CASCOM OE reports are appropriate for application in future force sustainment models for the Army and Joint Organizations. </w:t>
      </w:r>
    </w:p>
    <w:p w14:paraId="2B003019" w14:textId="77777777" w:rsidR="006755AE" w:rsidRPr="00DE624B" w:rsidRDefault="0023067C" w:rsidP="00DE624B">
      <w:pPr>
        <w:pStyle w:val="BodyText"/>
        <w:spacing w:before="480"/>
      </w:pPr>
      <w:r w:rsidRPr="00DE624B">
        <w:rPr>
          <w:noProof/>
          <w:color w:val="FF0000"/>
        </w:rPr>
        <mc:AlternateContent>
          <mc:Choice Requires="wps">
            <w:drawing>
              <wp:anchor distT="0" distB="0" distL="114300" distR="114300" simplePos="0" relativeHeight="251709440" behindDoc="0" locked="0" layoutInCell="1" allowOverlap="1" wp14:anchorId="2B003077" wp14:editId="2B003078">
                <wp:simplePos x="0" y="0"/>
                <wp:positionH relativeFrom="column">
                  <wp:posOffset>3657600</wp:posOffset>
                </wp:positionH>
                <wp:positionV relativeFrom="paragraph">
                  <wp:posOffset>422275</wp:posOffset>
                </wp:positionV>
                <wp:extent cx="2238375" cy="1350645"/>
                <wp:effectExtent l="0" t="0" r="22225" b="20955"/>
                <wp:wrapSquare wrapText="bothSides"/>
                <wp:docPr id="18" name="Text Box 18"/>
                <wp:cNvGraphicFramePr/>
                <a:graphic xmlns:a="http://schemas.openxmlformats.org/drawingml/2006/main">
                  <a:graphicData uri="http://schemas.microsoft.com/office/word/2010/wordprocessingShape">
                    <wps:wsp>
                      <wps:cNvSpPr txBox="1"/>
                      <wps:spPr>
                        <a:xfrm>
                          <a:off x="0" y="0"/>
                          <a:ext cx="2238375" cy="1350645"/>
                        </a:xfrm>
                        <a:prstGeom prst="rect">
                          <a:avLst/>
                        </a:prstGeom>
                        <a:gradFill>
                          <a:gsLst>
                            <a:gs pos="0">
                              <a:schemeClr val="bg2"/>
                            </a:gs>
                            <a:gs pos="50000">
                              <a:schemeClr val="bg2">
                                <a:lumMod val="90000"/>
                              </a:schemeClr>
                            </a:gs>
                            <a:gs pos="100000">
                              <a:schemeClr val="bg2">
                                <a:lumMod val="50000"/>
                              </a:schemeClr>
                            </a:gs>
                          </a:gsLst>
                          <a:lin ang="5400000" scaled="0"/>
                        </a:gradFill>
                        <a:ln w="22225" cmpd="sng">
                          <a:solidFill>
                            <a:srgbClr val="10253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00308D" w14:textId="77777777" w:rsidR="0091138F" w:rsidRPr="00997B4E" w:rsidRDefault="00FB1D19" w:rsidP="00D63F63">
                            <w:pPr>
                              <w:jc w:val="center"/>
                              <w:rPr>
                                <w:sz w:val="20"/>
                                <w:szCs w:val="20"/>
                              </w:rPr>
                            </w:pPr>
                            <w:r>
                              <w:rPr>
                                <w:sz w:val="20"/>
                                <w:szCs w:val="20"/>
                              </w:rPr>
                              <w:t>Acme</w:t>
                            </w:r>
                            <w:r w:rsidR="0091138F" w:rsidRPr="00997B4E">
                              <w:rPr>
                                <w:sz w:val="20"/>
                                <w:szCs w:val="20"/>
                              </w:rPr>
                              <w:t xml:space="preserve"> staff onsite at the Pentagon drafted the Assessments Annex of the </w:t>
                            </w:r>
                            <w:r w:rsidR="0091138F" w:rsidRPr="00D63F63">
                              <w:rPr>
                                <w:i/>
                                <w:sz w:val="20"/>
                                <w:szCs w:val="20"/>
                              </w:rPr>
                              <w:t>Telling the Army Story</w:t>
                            </w:r>
                            <w:r w:rsidR="0091138F" w:rsidRPr="00997B4E">
                              <w:rPr>
                                <w:sz w:val="20"/>
                                <w:szCs w:val="20"/>
                              </w:rPr>
                              <w:t xml:space="preserve"> campaign</w:t>
                            </w:r>
                            <w:r w:rsidR="0091138F">
                              <w:rPr>
                                <w:sz w:val="20"/>
                                <w:szCs w:val="20"/>
                              </w:rPr>
                              <w:t>,</w:t>
                            </w:r>
                            <w:r w:rsidR="0091138F" w:rsidRPr="00997B4E">
                              <w:rPr>
                                <w:sz w:val="20"/>
                                <w:szCs w:val="20"/>
                              </w:rPr>
                              <w:t xml:space="preserve"> which was added to the ACP.</w:t>
                            </w:r>
                            <w:r w:rsidR="0091138F">
                              <w:rPr>
                                <w:sz w:val="20"/>
                                <w:szCs w:val="20"/>
                              </w:rPr>
                              <w:t xml:space="preserve"> We understand the process from concept development and white papers to Chief of Staff of the Army approval and adding to the ACP.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3077" id="Text Box 18" o:spid="_x0000_s1029" type="#_x0000_t202" style="position:absolute;margin-left:4in;margin-top:33.25pt;width:176.25pt;height:10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" fillcolor="#eeece1 [3214]" strokecolor="#10253f" strokeweight="1.75pt">
                <v:fill color2="#938953 [1614]" colors="0 #eeece1;.5 #ddd9c3;1 #948a54" focus="100%" type="gradient">
                  <o:fill v:ext="view" type="gradientUnscaled"/>
                </v:fill>
                <v:textbox>
                  <w:txbxContent>
                    <w:p w14:paraId="2B00308D" w14:textId="77777777" w:rsidR="0091138F" w:rsidRPr="00997B4E" w:rsidRDefault="00FB1D19" w:rsidP="00D63F63">
                      <w:pPr>
                        <w:jc w:val="center"/>
                        <w:rPr>
                          <w:sz w:val="20"/>
                          <w:szCs w:val="20"/>
                        </w:rPr>
                      </w:pPr>
                      <w:r>
                        <w:rPr>
                          <w:sz w:val="20"/>
                          <w:szCs w:val="20"/>
                        </w:rPr>
                        <w:t>Acme</w:t>
                      </w:r>
                      <w:r w:rsidR="0091138F" w:rsidRPr="00997B4E">
                        <w:rPr>
                          <w:sz w:val="20"/>
                          <w:szCs w:val="20"/>
                        </w:rPr>
                        <w:t xml:space="preserve"> staff onsite at the Pentagon drafted the Assessments Annex of the </w:t>
                      </w:r>
                      <w:r w:rsidR="0091138F" w:rsidRPr="00D63F63">
                        <w:rPr>
                          <w:i/>
                          <w:sz w:val="20"/>
                          <w:szCs w:val="20"/>
                        </w:rPr>
                        <w:t>Telling the Army Story</w:t>
                      </w:r>
                      <w:r w:rsidR="0091138F" w:rsidRPr="00997B4E">
                        <w:rPr>
                          <w:sz w:val="20"/>
                          <w:szCs w:val="20"/>
                        </w:rPr>
                        <w:t xml:space="preserve"> campaign</w:t>
                      </w:r>
                      <w:r w:rsidR="0091138F">
                        <w:rPr>
                          <w:sz w:val="20"/>
                          <w:szCs w:val="20"/>
                        </w:rPr>
                        <w:t>,</w:t>
                      </w:r>
                      <w:r w:rsidR="0091138F" w:rsidRPr="00997B4E">
                        <w:rPr>
                          <w:sz w:val="20"/>
                          <w:szCs w:val="20"/>
                        </w:rPr>
                        <w:t xml:space="preserve"> which was added to the ACP.</w:t>
                      </w:r>
                      <w:r w:rsidR="0091138F">
                        <w:rPr>
                          <w:sz w:val="20"/>
                          <w:szCs w:val="20"/>
                        </w:rPr>
                        <w:t xml:space="preserve"> We understand the process from concept development and white papers to Chief of Staff of the Army approval and adding to the ACP.</w:t>
                      </w:r>
                    </w:p>
                  </w:txbxContent>
                </v:textbox>
                <w10:wrap type="square"/>
              </v:shape>
            </w:pict>
          </mc:Fallback>
        </mc:AlternateContent>
      </w:r>
      <w:r w:rsidR="006755AE" w:rsidRPr="00DE624B">
        <w:t xml:space="preserve">Our collective experience in all aspects of OE work over the last </w:t>
      </w:r>
      <w:r w:rsidR="00DA44EA" w:rsidRPr="00DE624B">
        <w:t>five</w:t>
      </w:r>
      <w:r w:rsidR="006755AE" w:rsidRPr="00DE624B">
        <w:t xml:space="preserve"> years validates the need for the CASCOM OE Team to lead and execute Capability Based Analysis in support of emerging themes for the Army Concept Framework. We will accomplish this task by focusing a rigorous and enduring DOTMLPF work effort in our Technology &amp; Analysis Branch, as shown in our organization chart in </w:t>
      </w:r>
      <w:r w:rsidR="006755AE" w:rsidRPr="00DE624B">
        <w:rPr>
          <w:b/>
        </w:rPr>
        <w:t>Figure 1.2-1</w:t>
      </w:r>
      <w:r w:rsidR="006755AE" w:rsidRPr="00DE624B">
        <w:t xml:space="preserve">. The focused outputs will include DOTMLPF Integrated Capabilities Recommendations that TRADOC and Army senior leaders can leverage to inform future </w:t>
      </w:r>
      <w:r w:rsidR="006755AE" w:rsidRPr="00DE624B">
        <w:rPr>
          <w:i/>
        </w:rPr>
        <w:t>train and equip</w:t>
      </w:r>
      <w:r w:rsidR="006755AE" w:rsidRPr="00DE624B">
        <w:t xml:space="preserve"> programming decisions for Army future force sustainment concepts emerging in the 2016-2028 timeframe. We believe this is a critical task, as current efforts by the various organizational entities in the OE arena are mostly specific in scope and not necessarily connected in end-to-end outcomes. They don’t always result in a more informed effort to integrate OE </w:t>
      </w:r>
      <w:r w:rsidR="006755AE" w:rsidRPr="00DE624B">
        <w:lastRenderedPageBreak/>
        <w:t>capabilities that support the Army Campaign Plan. Our approach will ensure quality white papers emerge from CASCOM to appropriately inform senior Army leadership. This information</w:t>
      </w:r>
      <w:r w:rsidR="00216785" w:rsidRPr="00DE624B">
        <w:t xml:space="preserve"> </w:t>
      </w:r>
      <w:r w:rsidR="006755AE" w:rsidRPr="00DE624B">
        <w:t>will empower them in making wise programmatic decisions that result in successful future sustainment establishment.</w:t>
      </w:r>
    </w:p>
    <w:p w14:paraId="2B00301A" w14:textId="77777777" w:rsidR="00632016" w:rsidRPr="00DE624B" w:rsidRDefault="006755AE" w:rsidP="00DE624B">
      <w:pPr>
        <w:pStyle w:val="BodyText"/>
      </w:pPr>
      <w:r w:rsidRPr="00DE624B">
        <w:t xml:space="preserve">The JCIDS model of developing concepts, given the desired capabilities via well-thought through DOTMLPF analysis, works to ensure appropriate Force and Material Enablers are in place. This is because the results enable a more fluid approach to train and equip the force based on Army Force Generation (ARFORGEN) models versus individual organizational efforts that are more staccato in nature. </w:t>
      </w:r>
    </w:p>
    <w:p w14:paraId="2B00301B" w14:textId="77777777" w:rsidR="006755AE" w:rsidRPr="00DE624B" w:rsidRDefault="006755AE" w:rsidP="00DE624B">
      <w:pPr>
        <w:pStyle w:val="BodyText"/>
      </w:pPr>
      <w:r w:rsidRPr="00DE624B">
        <w:t xml:space="preserve">The </w:t>
      </w:r>
      <w:r w:rsidR="00FB1D19" w:rsidRPr="00DE624B">
        <w:t>Acme</w:t>
      </w:r>
      <w:r w:rsidRPr="00DE624B">
        <w:t xml:space="preserve"> approach establishes a Capabilities &amp; Integration Branch that complements a Technology &amp; Analysis Branch, as shown in </w:t>
      </w:r>
      <w:r w:rsidRPr="00DE624B">
        <w:rPr>
          <w:b/>
        </w:rPr>
        <w:t>Figure 1.2-1</w:t>
      </w:r>
      <w:r w:rsidRPr="00DE624B">
        <w:t xml:space="preserve">. This way, the Technology &amp; Analysis Branch team’s development of all Capability Based Analysis, all warfighter experimentation and lessons learned and integrated Capabilities Recommendations, will seamlessly feed the Capabilities and Integration Branch to further develop CASCOM OE Concepts. This will further mature Capability Integration products for output to ARCIC and JCIDS managers. </w:t>
      </w:r>
    </w:p>
    <w:p w14:paraId="2B00301C" w14:textId="77777777" w:rsidR="00122553" w:rsidRPr="00DE624B" w:rsidRDefault="00122553" w:rsidP="00DE624B">
      <w:pPr>
        <w:pStyle w:val="BodyText"/>
      </w:pPr>
      <w:r w:rsidRPr="00DE624B">
        <w:rPr>
          <w:noProof/>
        </w:rPr>
        <w:drawing>
          <wp:anchor distT="0" distB="0" distL="114300" distR="114300" simplePos="0" relativeHeight="251710464" behindDoc="0" locked="0" layoutInCell="1" allowOverlap="1" wp14:anchorId="2B003079" wp14:editId="2B00307A">
            <wp:simplePos x="0" y="0"/>
            <wp:positionH relativeFrom="column">
              <wp:posOffset>1549400</wp:posOffset>
            </wp:positionH>
            <wp:positionV relativeFrom="paragraph">
              <wp:posOffset>90805</wp:posOffset>
            </wp:positionV>
            <wp:extent cx="5060315" cy="297180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60315" cy="2971800"/>
                    </a:xfrm>
                    <a:prstGeom prst="rect">
                      <a:avLst/>
                    </a:prstGeom>
                    <a:noFill/>
                  </pic:spPr>
                </pic:pic>
              </a:graphicData>
            </a:graphic>
            <wp14:sizeRelH relativeFrom="page">
              <wp14:pctWidth>0</wp14:pctWidth>
            </wp14:sizeRelH>
            <wp14:sizeRelV relativeFrom="page">
              <wp14:pctHeight>0</wp14:pctHeight>
            </wp14:sizeRelV>
          </wp:anchor>
        </w:drawing>
      </w:r>
    </w:p>
    <w:p w14:paraId="2B00301D" w14:textId="77777777" w:rsidR="00122553" w:rsidRPr="00DE624B" w:rsidRDefault="00122553" w:rsidP="00DE624B">
      <w:pPr>
        <w:pStyle w:val="BodyText"/>
      </w:pPr>
    </w:p>
    <w:p w14:paraId="2B00301E" w14:textId="77777777" w:rsidR="00122553" w:rsidRPr="00DE624B" w:rsidRDefault="00122553" w:rsidP="00DE624B">
      <w:pPr>
        <w:pStyle w:val="BodyText"/>
      </w:pPr>
    </w:p>
    <w:p w14:paraId="2B00301F" w14:textId="77777777" w:rsidR="00122553" w:rsidRPr="00DE624B" w:rsidRDefault="00122553" w:rsidP="00DE624B">
      <w:pPr>
        <w:pStyle w:val="BodyText"/>
      </w:pPr>
    </w:p>
    <w:p w14:paraId="2B003020" w14:textId="77777777" w:rsidR="00122553" w:rsidRPr="00DE624B" w:rsidRDefault="00122553" w:rsidP="00DE624B">
      <w:pPr>
        <w:pStyle w:val="BodyText"/>
      </w:pPr>
    </w:p>
    <w:p w14:paraId="2B003021" w14:textId="77777777" w:rsidR="00122553" w:rsidRPr="00DE624B" w:rsidRDefault="00122553" w:rsidP="00DE624B">
      <w:pPr>
        <w:pStyle w:val="BodyText"/>
      </w:pPr>
    </w:p>
    <w:p w14:paraId="2B003022" w14:textId="77777777" w:rsidR="00122553" w:rsidRPr="00DE624B" w:rsidRDefault="00122553" w:rsidP="00DE624B">
      <w:pPr>
        <w:pStyle w:val="BodyText"/>
      </w:pPr>
    </w:p>
    <w:p w14:paraId="2B003023" w14:textId="77777777" w:rsidR="00122553" w:rsidRPr="00DE624B" w:rsidRDefault="00122553" w:rsidP="00DE624B">
      <w:pPr>
        <w:pStyle w:val="BodyText"/>
      </w:pPr>
    </w:p>
    <w:p w14:paraId="2B003024" w14:textId="77777777" w:rsidR="00122553" w:rsidRPr="00DE624B" w:rsidRDefault="00122553" w:rsidP="00DE624B">
      <w:pPr>
        <w:pStyle w:val="BodyText"/>
      </w:pPr>
    </w:p>
    <w:p w14:paraId="2B003025" w14:textId="77777777" w:rsidR="00122553" w:rsidRPr="00DE624B" w:rsidRDefault="00122553" w:rsidP="00DE624B">
      <w:pPr>
        <w:pStyle w:val="BodyText"/>
      </w:pPr>
    </w:p>
    <w:p w14:paraId="2B003026" w14:textId="77777777" w:rsidR="00122553" w:rsidRPr="00DE624B" w:rsidRDefault="00122553" w:rsidP="00DE624B">
      <w:pPr>
        <w:pStyle w:val="BodyText"/>
      </w:pPr>
    </w:p>
    <w:p w14:paraId="2B003027" w14:textId="77777777" w:rsidR="00122553" w:rsidRPr="00DE624B" w:rsidRDefault="00122553" w:rsidP="00DE624B">
      <w:pPr>
        <w:pStyle w:val="Caption"/>
        <w:tabs>
          <w:tab w:val="left" w:pos="9270"/>
        </w:tabs>
        <w:ind w:right="90"/>
        <w:rPr>
          <w:rFonts w:ascii="Times New Roman" w:hAnsi="Times New Roman"/>
          <w:i/>
          <w:sz w:val="24"/>
        </w:rPr>
      </w:pPr>
      <w:r w:rsidRPr="00DE624B">
        <w:rPr>
          <w:rFonts w:ascii="Times New Roman" w:hAnsi="Times New Roman"/>
          <w:b/>
          <w:sz w:val="24"/>
        </w:rPr>
        <w:t>Figure 1.2-1. Organization.</w:t>
      </w:r>
      <w:r w:rsidRPr="00DE624B">
        <w:rPr>
          <w:rFonts w:ascii="Times New Roman" w:hAnsi="Times New Roman"/>
          <w:sz w:val="24"/>
        </w:rPr>
        <w:t xml:space="preserve"> </w:t>
      </w:r>
      <w:r w:rsidRPr="00DE624B">
        <w:rPr>
          <w:rFonts w:ascii="Times New Roman" w:hAnsi="Times New Roman"/>
          <w:i/>
          <w:sz w:val="24"/>
        </w:rPr>
        <w:t>The two branches in our OE Cell will enable better outputs to ARCIC and JCIDS managers.</w:t>
      </w:r>
    </w:p>
    <w:p w14:paraId="2B003028" w14:textId="77777777" w:rsidR="00122553" w:rsidRPr="00DE624B" w:rsidRDefault="00122553" w:rsidP="00DE624B">
      <w:pPr>
        <w:pStyle w:val="BodyText"/>
      </w:pPr>
    </w:p>
    <w:p w14:paraId="2B003029" w14:textId="77777777" w:rsidR="0023067C" w:rsidRPr="00DE624B" w:rsidRDefault="0023067C" w:rsidP="00DE624B">
      <w:pPr>
        <w:pStyle w:val="Caption"/>
        <w:tabs>
          <w:tab w:val="left" w:pos="9270"/>
        </w:tabs>
        <w:ind w:right="90"/>
        <w:rPr>
          <w:rFonts w:ascii="Times New Roman" w:hAnsi="Times New Roman"/>
          <w:b/>
          <w:sz w:val="24"/>
        </w:rPr>
      </w:pPr>
    </w:p>
    <w:p w14:paraId="2B00302A" w14:textId="77777777" w:rsidR="00307B7B" w:rsidRPr="00DE624B" w:rsidRDefault="00307B7B" w:rsidP="00DE624B">
      <w:pPr>
        <w:pStyle w:val="BodyText"/>
      </w:pPr>
    </w:p>
    <w:p w14:paraId="2B00302B" w14:textId="77777777" w:rsidR="00F56025" w:rsidRPr="00DE624B" w:rsidRDefault="006755AE" w:rsidP="00DE624B">
      <w:pPr>
        <w:pStyle w:val="BodyText"/>
      </w:pPr>
      <w:r w:rsidRPr="00DE624B">
        <w:lastRenderedPageBreak/>
        <w:t xml:space="preserve">The two branches in our OE Cell will </w:t>
      </w:r>
      <w:r w:rsidR="00E02F2E" w:rsidRPr="00DE624B">
        <w:t xml:space="preserve">help </w:t>
      </w:r>
      <w:r w:rsidRPr="00DE624B">
        <w:t xml:space="preserve">the OE PM and the CASCOM OE Team </w:t>
      </w:r>
      <w:r w:rsidR="00E02F2E" w:rsidRPr="00DE624B">
        <w:t>inform</w:t>
      </w:r>
      <w:r w:rsidRPr="00DE624B">
        <w:t xml:space="preserve"> leaders about OE products that will support the future force sustainment models, given our inputs to the JCIDS process starting immediately upon contract award. While the Technology &amp; Analysis Branch focuses on high quality study and analysis, the Capabilities &amp; Integration Branch will focus on the JCIDS and DOTMLPF work products to ensure a continuum of informed capabilities development products that consider and enable future TRADOC and if appropriate, Acquisition efforts, to ensure full spectrum integrated OE work that provides commanders the capabilities they desire. As depicted in </w:t>
      </w:r>
      <w:r w:rsidRPr="00DE624B">
        <w:rPr>
          <w:b/>
        </w:rPr>
        <w:t>Figure 1.2-2</w:t>
      </w:r>
      <w:r w:rsidRPr="00DE624B">
        <w:t xml:space="preserve">, </w:t>
      </w:r>
      <w:r w:rsidR="00FB1D19" w:rsidRPr="00DE624B">
        <w:t>Acme</w:t>
      </w:r>
      <w:r w:rsidRPr="00DE624B">
        <w:t xml:space="preserve">’s process is rooted in doctrine as outlined in the JCIDS Manual 19 Jan 2012 and leverages our insights and experience with initial capabilities document development. </w:t>
      </w:r>
    </w:p>
    <w:p w14:paraId="2B00302C" w14:textId="77777777" w:rsidR="006755AE" w:rsidRPr="00DE624B" w:rsidRDefault="006755AE" w:rsidP="00DE624B">
      <w:pPr>
        <w:pStyle w:val="BodyText"/>
      </w:pPr>
      <w:r w:rsidRPr="00DE624B">
        <w:t>A new approach to OE is critical, given our evolving Army and Joint sustainment models that are further developing in light of hybrid war scenarios and extended lines of communication and logistics. A well thought-out and JCIDS-focused OE approach is especial</w:t>
      </w:r>
      <w:r w:rsidR="00E02F2E" w:rsidRPr="00DE624B">
        <w:t xml:space="preserve">ly critical for our smaller-sized </w:t>
      </w:r>
      <w:r w:rsidRPr="00DE624B">
        <w:t xml:space="preserve">(squad to battalion) Army and Special Operations/Joint formations that require significant platform and security commitments during resupply operations. Only more diligent TRADOC participation via the CASCOM OE Cell will ensure these needs are resourced for sustainment models for the future Army out through 2028. We facilitate service-level capability-based analysis, and DOTMLPF-inspired Integrated Capabilities Recommendations to help accomplish this. An example of such efforts includes the Marine Corps’ </w:t>
      </w:r>
      <w:proofErr w:type="spellStart"/>
      <w:r w:rsidRPr="00DE624B">
        <w:t>ExFOB</w:t>
      </w:r>
      <w:proofErr w:type="spellEnd"/>
      <w:r w:rsidRPr="00DE624B">
        <w:t xml:space="preserve"> program and the current round of technology recommendations stemming from that effort.  </w:t>
      </w:r>
    </w:p>
    <w:p w14:paraId="2B00302D" w14:textId="77777777" w:rsidR="008C4E7E" w:rsidRPr="00DE624B" w:rsidRDefault="006755AE" w:rsidP="00DE624B">
      <w:pPr>
        <w:pStyle w:val="BodyText"/>
      </w:pPr>
      <w:r w:rsidRPr="00DE624B">
        <w:t xml:space="preserve">We will design our data collection, analysis, documentation, dissemination, and archiving activities within a basic framework that expertly accomplishes all tasks specified in the PWS paragraph 3.0 and its sub-paragraphs, and creates flexibility. These factors are key to fulfilling an imperative to derive and answer diverse implied questions, and accomplish tasks that will inevitably arise as new knowledge is discovered. </w:t>
      </w:r>
    </w:p>
    <w:p w14:paraId="2B00302E" w14:textId="77777777" w:rsidR="008C4E7E" w:rsidRPr="00DE624B" w:rsidRDefault="00931E8D" w:rsidP="00DE624B">
      <w:pPr>
        <w:rPr>
          <w:b/>
        </w:rPr>
      </w:pPr>
      <w:r w:rsidRPr="00DE624B">
        <w:t>Extent to which uncertainties are identified and resolutions proposed</w:t>
      </w:r>
      <w:r w:rsidR="008C4E7E" w:rsidRPr="00DE624B">
        <w:t xml:space="preserve"> </w:t>
      </w:r>
      <w:r w:rsidR="00C828D5" w:rsidRPr="00DE624B">
        <w:t>is</w:t>
      </w:r>
      <w:r w:rsidR="008C4E7E" w:rsidRPr="00DE624B">
        <w:t xml:space="preserve"> shown in</w:t>
      </w:r>
      <w:r w:rsidR="008C4E7E" w:rsidRPr="00DE624B">
        <w:rPr>
          <w:b/>
        </w:rPr>
        <w:t xml:space="preserve"> Table 1.2-2. </w:t>
      </w:r>
    </w:p>
    <w:p w14:paraId="2B00302F" w14:textId="77777777" w:rsidR="00930259" w:rsidRPr="00DE624B" w:rsidRDefault="00930259" w:rsidP="00DE624B">
      <w:pPr>
        <w:rPr>
          <w:b/>
        </w:rPr>
      </w:pPr>
    </w:p>
    <w:p w14:paraId="2B003030" w14:textId="77777777" w:rsidR="00931E8D" w:rsidRPr="00DE624B" w:rsidRDefault="008C4E7E" w:rsidP="00DE624B">
      <w:pPr>
        <w:pStyle w:val="Caption"/>
        <w:rPr>
          <w:rFonts w:ascii="Times New Roman" w:hAnsi="Times New Roman"/>
          <w:sz w:val="24"/>
        </w:rPr>
      </w:pPr>
      <w:r w:rsidRPr="00DE624B">
        <w:rPr>
          <w:rFonts w:ascii="Times New Roman" w:hAnsi="Times New Roman"/>
          <w:b/>
          <w:sz w:val="24"/>
        </w:rPr>
        <w:t>Tabl</w:t>
      </w:r>
      <w:r w:rsidR="00122553" w:rsidRPr="00DE624B">
        <w:rPr>
          <w:rFonts w:ascii="Times New Roman" w:hAnsi="Times New Roman"/>
          <w:b/>
          <w:sz w:val="24"/>
        </w:rPr>
        <w:t>e 1.2-2</w:t>
      </w:r>
      <w:r w:rsidR="0044182D" w:rsidRPr="00DE624B">
        <w:rPr>
          <w:rFonts w:ascii="Times New Roman" w:hAnsi="Times New Roman"/>
          <w:b/>
          <w:sz w:val="24"/>
        </w:rPr>
        <w:t>.</w:t>
      </w:r>
      <w:r w:rsidR="0044182D" w:rsidRPr="00DE624B">
        <w:rPr>
          <w:rFonts w:ascii="Times New Roman" w:hAnsi="Times New Roman"/>
          <w:sz w:val="24"/>
        </w:rPr>
        <w:t xml:space="preserve"> Risks and Mitigations.</w:t>
      </w:r>
    </w:p>
    <w:tbl>
      <w:tblPr>
        <w:tblStyle w:val="TableNoHead"/>
        <w:tblW w:w="0" w:type="auto"/>
        <w:tblLook w:val="04A0" w:firstRow="1" w:lastRow="0" w:firstColumn="1" w:lastColumn="0" w:noHBand="0" w:noVBand="1"/>
      </w:tblPr>
      <w:tblGrid>
        <w:gridCol w:w="2420"/>
        <w:gridCol w:w="3358"/>
        <w:gridCol w:w="3798"/>
      </w:tblGrid>
      <w:tr w:rsidR="00405545" w:rsidRPr="00DE624B" w14:paraId="2B003034" w14:textId="77777777" w:rsidTr="00122553">
        <w:tc>
          <w:tcPr>
            <w:tcW w:w="2420" w:type="dxa"/>
          </w:tcPr>
          <w:p w14:paraId="2B003031" w14:textId="77777777" w:rsidR="00405545" w:rsidRPr="00DE624B" w:rsidRDefault="00405545" w:rsidP="00DE624B">
            <w:pPr>
              <w:rPr>
                <w:color w:val="F2F2F2" w:themeColor="background1" w:themeShade="F2"/>
              </w:rPr>
            </w:pPr>
            <w:r w:rsidRPr="00DE624B">
              <w:rPr>
                <w:color w:val="F2F2F2" w:themeColor="background1" w:themeShade="F2"/>
              </w:rPr>
              <w:t>Risk</w:t>
            </w:r>
          </w:p>
        </w:tc>
        <w:tc>
          <w:tcPr>
            <w:tcW w:w="3358" w:type="dxa"/>
          </w:tcPr>
          <w:p w14:paraId="2B003032" w14:textId="77777777" w:rsidR="00405545" w:rsidRPr="00DE624B" w:rsidRDefault="00405545" w:rsidP="00DE624B">
            <w:pPr>
              <w:rPr>
                <w:color w:val="F2F2F2" w:themeColor="background1" w:themeShade="F2"/>
              </w:rPr>
            </w:pPr>
            <w:r w:rsidRPr="00DE624B">
              <w:rPr>
                <w:color w:val="F2F2F2" w:themeColor="background1" w:themeShade="F2"/>
              </w:rPr>
              <w:t>Rationale</w:t>
            </w:r>
          </w:p>
        </w:tc>
        <w:tc>
          <w:tcPr>
            <w:tcW w:w="3798" w:type="dxa"/>
          </w:tcPr>
          <w:p w14:paraId="2B003033" w14:textId="77777777" w:rsidR="00405545" w:rsidRPr="00DE624B" w:rsidRDefault="00FB1D19" w:rsidP="00DE624B">
            <w:pPr>
              <w:rPr>
                <w:color w:val="F2F2F2" w:themeColor="background1" w:themeShade="F2"/>
              </w:rPr>
            </w:pPr>
            <w:r w:rsidRPr="00DE624B">
              <w:rPr>
                <w:color w:val="F2F2F2" w:themeColor="background1" w:themeShade="F2"/>
              </w:rPr>
              <w:t>Acme</w:t>
            </w:r>
            <w:r w:rsidR="00405545" w:rsidRPr="00DE624B">
              <w:rPr>
                <w:color w:val="F2F2F2" w:themeColor="background1" w:themeShade="F2"/>
              </w:rPr>
              <w:t xml:space="preserve"> Mitigation</w:t>
            </w:r>
          </w:p>
        </w:tc>
      </w:tr>
      <w:tr w:rsidR="00405545" w:rsidRPr="00DE624B" w14:paraId="2B003038" w14:textId="77777777" w:rsidTr="00122553">
        <w:tc>
          <w:tcPr>
            <w:tcW w:w="2420" w:type="dxa"/>
          </w:tcPr>
          <w:p w14:paraId="2B003035" w14:textId="77777777" w:rsidR="00405545" w:rsidRPr="00DE624B" w:rsidRDefault="00405545" w:rsidP="00DE624B">
            <w:pPr>
              <w:rPr>
                <w:b/>
              </w:rPr>
            </w:pPr>
            <w:r w:rsidRPr="00DE624B">
              <w:rPr>
                <w:b/>
              </w:rPr>
              <w:t>Insufficient data to drive studies/analysis</w:t>
            </w:r>
          </w:p>
        </w:tc>
        <w:tc>
          <w:tcPr>
            <w:tcW w:w="3358" w:type="dxa"/>
          </w:tcPr>
          <w:p w14:paraId="2B003036" w14:textId="77777777" w:rsidR="00405545" w:rsidRPr="00DE624B" w:rsidRDefault="00405545" w:rsidP="00DE624B">
            <w:r w:rsidRPr="00DE624B">
              <w:t>CASCOM must ensure robust data from all training and operational environs in order to best inform studies and analysis.  Contract support must facilitate this operational insight through direct access.</w:t>
            </w:r>
          </w:p>
        </w:tc>
        <w:tc>
          <w:tcPr>
            <w:tcW w:w="3798" w:type="dxa"/>
          </w:tcPr>
          <w:p w14:paraId="2B003037" w14:textId="77777777" w:rsidR="00405545" w:rsidRPr="00DE624B" w:rsidRDefault="002661A9" w:rsidP="00DE624B">
            <w:pPr>
              <w:pStyle w:val="ListParagraph"/>
              <w:numPr>
                <w:ilvl w:val="0"/>
                <w:numId w:val="22"/>
              </w:numPr>
              <w:ind w:left="127" w:hanging="180"/>
            </w:pPr>
            <w:r w:rsidRPr="00DE624B">
              <w:t xml:space="preserve">Current direct feedback and operational relevance from recent experience and </w:t>
            </w:r>
            <w:r w:rsidR="00E35DA1" w:rsidRPr="00DE624B">
              <w:t>access to appropriate data sources</w:t>
            </w:r>
            <w:r w:rsidR="00405545" w:rsidRPr="00DE624B">
              <w:t>.</w:t>
            </w:r>
          </w:p>
        </w:tc>
      </w:tr>
      <w:tr w:rsidR="00405545" w:rsidRPr="00DE624B" w14:paraId="2B00303C" w14:textId="77777777" w:rsidTr="00122553">
        <w:tc>
          <w:tcPr>
            <w:tcW w:w="2420" w:type="dxa"/>
          </w:tcPr>
          <w:p w14:paraId="2B003039" w14:textId="77777777" w:rsidR="00405545" w:rsidRPr="00DE624B" w:rsidRDefault="00405545" w:rsidP="00DE624B">
            <w:pPr>
              <w:rPr>
                <w:b/>
              </w:rPr>
            </w:pPr>
            <w:r w:rsidRPr="00DE624B">
              <w:rPr>
                <w:b/>
              </w:rPr>
              <w:t xml:space="preserve">Lack of current global reach to support </w:t>
            </w:r>
            <w:r w:rsidRPr="00DE624B">
              <w:rPr>
                <w:b/>
              </w:rPr>
              <w:lastRenderedPageBreak/>
              <w:t xml:space="preserve">emerging range of Army OE issues </w:t>
            </w:r>
          </w:p>
        </w:tc>
        <w:tc>
          <w:tcPr>
            <w:tcW w:w="3358" w:type="dxa"/>
          </w:tcPr>
          <w:p w14:paraId="2B00303A" w14:textId="77777777" w:rsidR="00405545" w:rsidRPr="00DE624B" w:rsidRDefault="00405545" w:rsidP="00DE624B"/>
        </w:tc>
        <w:tc>
          <w:tcPr>
            <w:tcW w:w="3798" w:type="dxa"/>
          </w:tcPr>
          <w:p w14:paraId="2B00303B" w14:textId="77777777" w:rsidR="00405545" w:rsidRPr="00DE624B" w:rsidRDefault="00405545" w:rsidP="00DE624B">
            <w:pPr>
              <w:pStyle w:val="ListParagraph"/>
              <w:numPr>
                <w:ilvl w:val="0"/>
                <w:numId w:val="22"/>
              </w:numPr>
              <w:ind w:left="127" w:hanging="180"/>
            </w:pPr>
            <w:r w:rsidRPr="00DE624B">
              <w:t xml:space="preserve">Recent support to EUCOM, AFRICOM, CENTCOM, USFOR-A </w:t>
            </w:r>
            <w:r w:rsidRPr="00DE624B">
              <w:lastRenderedPageBreak/>
              <w:t xml:space="preserve">within a 90-day period. </w:t>
            </w:r>
            <w:r w:rsidR="00FB1D19" w:rsidRPr="00DE624B">
              <w:t>Acme</w:t>
            </w:r>
            <w:r w:rsidRPr="00DE624B">
              <w:t xml:space="preserve"> has proven rapid deployment and reach into any AOR to support OE data collection and analysis.</w:t>
            </w:r>
          </w:p>
        </w:tc>
      </w:tr>
    </w:tbl>
    <w:p w14:paraId="2B00303D" w14:textId="77777777" w:rsidR="00F21D7D" w:rsidRPr="00DE624B" w:rsidRDefault="00F21D7D" w:rsidP="00DE624B">
      <w:pPr>
        <w:rPr>
          <w:b/>
        </w:rPr>
      </w:pPr>
    </w:p>
    <w:p w14:paraId="2B00303E" w14:textId="77777777" w:rsidR="00F21D7D" w:rsidRPr="00DE624B" w:rsidRDefault="00F21D7D" w:rsidP="00DE624B">
      <w:pPr>
        <w:pStyle w:val="Heading4"/>
        <w:rPr>
          <w:rFonts w:ascii="Times New Roman" w:hAnsi="Times New Roman"/>
        </w:rPr>
      </w:pPr>
      <w:r w:rsidRPr="00DE624B">
        <w:rPr>
          <w:rFonts w:ascii="Times New Roman" w:hAnsi="Times New Roman"/>
        </w:rPr>
        <w:t>Skill Mix for the Task</w:t>
      </w:r>
    </w:p>
    <w:p w14:paraId="2B00303F" w14:textId="77777777" w:rsidR="00F21D7D" w:rsidRPr="00DE624B" w:rsidRDefault="00F21D7D" w:rsidP="00DE624B">
      <w:pPr>
        <w:pStyle w:val="Caption"/>
        <w:rPr>
          <w:rFonts w:ascii="Times New Roman" w:hAnsi="Times New Roman"/>
          <w:sz w:val="24"/>
        </w:rPr>
      </w:pPr>
      <w:r w:rsidRPr="00DE624B">
        <w:rPr>
          <w:rFonts w:ascii="Times New Roman" w:hAnsi="Times New Roman"/>
          <w:b/>
          <w:sz w:val="24"/>
        </w:rPr>
        <w:t>Table 1.2-</w:t>
      </w:r>
      <w:r w:rsidR="00122553" w:rsidRPr="00DE624B">
        <w:rPr>
          <w:rFonts w:ascii="Times New Roman" w:hAnsi="Times New Roman"/>
          <w:b/>
          <w:sz w:val="24"/>
        </w:rPr>
        <w:t>4</w:t>
      </w:r>
      <w:r w:rsidRPr="00DE624B">
        <w:rPr>
          <w:rFonts w:ascii="Times New Roman" w:hAnsi="Times New Roman"/>
          <w:b/>
          <w:sz w:val="24"/>
        </w:rPr>
        <w:t>.</w:t>
      </w:r>
      <w:r w:rsidRPr="00DE624B">
        <w:rPr>
          <w:rFonts w:ascii="Times New Roman" w:hAnsi="Times New Roman"/>
          <w:sz w:val="24"/>
        </w:rPr>
        <w:t xml:space="preserve"> Skill Mix for the Task.</w:t>
      </w:r>
    </w:p>
    <w:tbl>
      <w:tblPr>
        <w:tblStyle w:val="BasicTable"/>
        <w:tblW w:w="9558" w:type="dxa"/>
        <w:tblLook w:val="04A0" w:firstRow="1" w:lastRow="0" w:firstColumn="1" w:lastColumn="0" w:noHBand="0" w:noVBand="1"/>
      </w:tblPr>
      <w:tblGrid>
        <w:gridCol w:w="7128"/>
        <w:gridCol w:w="2430"/>
      </w:tblGrid>
      <w:tr w:rsidR="0089571C" w:rsidRPr="00DE624B" w14:paraId="2B003042" w14:textId="77777777" w:rsidTr="00122553">
        <w:trPr>
          <w:cnfStyle w:val="100000000000" w:firstRow="1" w:lastRow="0" w:firstColumn="0" w:lastColumn="0" w:oddVBand="0" w:evenVBand="0" w:oddHBand="0" w:evenHBand="0" w:firstRowFirstColumn="0" w:firstRowLastColumn="0" w:lastRowFirstColumn="0" w:lastRowLastColumn="0"/>
        </w:trPr>
        <w:tc>
          <w:tcPr>
            <w:tcW w:w="7128" w:type="dxa"/>
          </w:tcPr>
          <w:p w14:paraId="2B003040" w14:textId="77777777" w:rsidR="0089571C" w:rsidRPr="00DE624B" w:rsidRDefault="0089571C" w:rsidP="00DE624B">
            <w:pPr>
              <w:jc w:val="left"/>
            </w:pPr>
            <w:r w:rsidRPr="00DE624B">
              <w:t>Labor Category</w:t>
            </w:r>
          </w:p>
        </w:tc>
        <w:tc>
          <w:tcPr>
            <w:tcW w:w="2430" w:type="dxa"/>
          </w:tcPr>
          <w:p w14:paraId="2B003041" w14:textId="77777777" w:rsidR="0089571C" w:rsidRPr="00DE624B" w:rsidRDefault="0089571C" w:rsidP="00DE624B">
            <w:pPr>
              <w:jc w:val="left"/>
            </w:pPr>
            <w:r w:rsidRPr="00DE624B">
              <w:t>Number of Hours</w:t>
            </w:r>
          </w:p>
        </w:tc>
      </w:tr>
      <w:tr w:rsidR="0089571C" w:rsidRPr="00DE624B" w14:paraId="2B003045" w14:textId="77777777" w:rsidTr="00122553">
        <w:tc>
          <w:tcPr>
            <w:tcW w:w="7128" w:type="dxa"/>
          </w:tcPr>
          <w:p w14:paraId="2B003043" w14:textId="77777777" w:rsidR="0089571C" w:rsidRPr="00DE624B" w:rsidRDefault="0089571C" w:rsidP="00DE624B">
            <w:r w:rsidRPr="00DE624B">
              <w:t>Program Manager</w:t>
            </w:r>
          </w:p>
        </w:tc>
        <w:tc>
          <w:tcPr>
            <w:tcW w:w="2430" w:type="dxa"/>
          </w:tcPr>
          <w:p w14:paraId="2B003044" w14:textId="77777777" w:rsidR="0089571C" w:rsidRPr="00DE624B" w:rsidRDefault="0089571C" w:rsidP="00DE624B">
            <w:pPr>
              <w:rPr>
                <w:b/>
              </w:rPr>
            </w:pPr>
            <w:r w:rsidRPr="00DE624B">
              <w:rPr>
                <w:b/>
              </w:rPr>
              <w:t>750</w:t>
            </w:r>
          </w:p>
        </w:tc>
      </w:tr>
      <w:tr w:rsidR="0089571C" w:rsidRPr="00DE624B" w14:paraId="2B003048" w14:textId="77777777" w:rsidTr="00122553">
        <w:tc>
          <w:tcPr>
            <w:tcW w:w="7128" w:type="dxa"/>
          </w:tcPr>
          <w:p w14:paraId="2B003046" w14:textId="77777777" w:rsidR="0089571C" w:rsidRPr="00DE624B" w:rsidRDefault="0089571C" w:rsidP="00DE624B">
            <w:r w:rsidRPr="00DE624B">
              <w:t>APM/SME</w:t>
            </w:r>
          </w:p>
        </w:tc>
        <w:tc>
          <w:tcPr>
            <w:tcW w:w="2430" w:type="dxa"/>
          </w:tcPr>
          <w:p w14:paraId="2B003047" w14:textId="77777777" w:rsidR="0089571C" w:rsidRPr="00DE624B" w:rsidRDefault="0089571C" w:rsidP="00DE624B">
            <w:pPr>
              <w:rPr>
                <w:b/>
              </w:rPr>
            </w:pPr>
            <w:r w:rsidRPr="00DE624B">
              <w:rPr>
                <w:b/>
              </w:rPr>
              <w:t>250</w:t>
            </w:r>
          </w:p>
        </w:tc>
      </w:tr>
      <w:tr w:rsidR="0089571C" w:rsidRPr="00DE624B" w14:paraId="2B00304B" w14:textId="77777777" w:rsidTr="00122553">
        <w:tc>
          <w:tcPr>
            <w:tcW w:w="7128" w:type="dxa"/>
          </w:tcPr>
          <w:p w14:paraId="2B003049" w14:textId="77777777" w:rsidR="0089571C" w:rsidRPr="00DE624B" w:rsidRDefault="0089571C" w:rsidP="00DE624B">
            <w:r w:rsidRPr="00DE624B">
              <w:t>PPBE/Integration Lead</w:t>
            </w:r>
          </w:p>
        </w:tc>
        <w:tc>
          <w:tcPr>
            <w:tcW w:w="2430" w:type="dxa"/>
          </w:tcPr>
          <w:p w14:paraId="2B00304A" w14:textId="77777777" w:rsidR="0089571C" w:rsidRPr="00DE624B" w:rsidRDefault="0089571C" w:rsidP="00DE624B">
            <w:pPr>
              <w:rPr>
                <w:b/>
              </w:rPr>
            </w:pPr>
            <w:r w:rsidRPr="00DE624B">
              <w:rPr>
                <w:b/>
              </w:rPr>
              <w:t>400</w:t>
            </w:r>
          </w:p>
        </w:tc>
      </w:tr>
      <w:tr w:rsidR="0089571C" w:rsidRPr="00DE624B" w14:paraId="2B00304E" w14:textId="77777777" w:rsidTr="00122553">
        <w:tc>
          <w:tcPr>
            <w:tcW w:w="7128" w:type="dxa"/>
          </w:tcPr>
          <w:p w14:paraId="2B00304C" w14:textId="77777777" w:rsidR="0089571C" w:rsidRPr="00DE624B" w:rsidRDefault="0089571C" w:rsidP="00DE624B">
            <w:r w:rsidRPr="00DE624B">
              <w:t>Capabilities &amp; Integration Manager</w:t>
            </w:r>
          </w:p>
        </w:tc>
        <w:tc>
          <w:tcPr>
            <w:tcW w:w="2430" w:type="dxa"/>
          </w:tcPr>
          <w:p w14:paraId="2B00304D" w14:textId="77777777" w:rsidR="0089571C" w:rsidRPr="00DE624B" w:rsidRDefault="0089571C" w:rsidP="00DE624B">
            <w:pPr>
              <w:rPr>
                <w:b/>
              </w:rPr>
            </w:pPr>
            <w:r w:rsidRPr="00DE624B">
              <w:rPr>
                <w:b/>
              </w:rPr>
              <w:t>720</w:t>
            </w:r>
          </w:p>
        </w:tc>
      </w:tr>
      <w:tr w:rsidR="0089571C" w:rsidRPr="00DE624B" w14:paraId="2B003051" w14:textId="77777777" w:rsidTr="00122553">
        <w:tc>
          <w:tcPr>
            <w:tcW w:w="7128" w:type="dxa"/>
          </w:tcPr>
          <w:p w14:paraId="2B00304F" w14:textId="77777777" w:rsidR="0089571C" w:rsidRPr="00DE624B" w:rsidRDefault="0089571C" w:rsidP="00DE624B">
            <w:r w:rsidRPr="00DE624B">
              <w:t>OE Analyst</w:t>
            </w:r>
          </w:p>
        </w:tc>
        <w:tc>
          <w:tcPr>
            <w:tcW w:w="2430" w:type="dxa"/>
          </w:tcPr>
          <w:p w14:paraId="2B003050" w14:textId="77777777" w:rsidR="0089571C" w:rsidRPr="00DE624B" w:rsidRDefault="0089571C" w:rsidP="00DE624B">
            <w:pPr>
              <w:rPr>
                <w:b/>
              </w:rPr>
            </w:pPr>
            <w:r w:rsidRPr="00DE624B">
              <w:rPr>
                <w:b/>
              </w:rPr>
              <w:t>900</w:t>
            </w:r>
          </w:p>
        </w:tc>
      </w:tr>
      <w:tr w:rsidR="0089571C" w:rsidRPr="00DE624B" w14:paraId="2B003054" w14:textId="77777777" w:rsidTr="00122553">
        <w:tc>
          <w:tcPr>
            <w:tcW w:w="7128" w:type="dxa"/>
          </w:tcPr>
          <w:p w14:paraId="2B003052" w14:textId="77777777" w:rsidR="0089571C" w:rsidRPr="00DE624B" w:rsidRDefault="0089571C" w:rsidP="00DE624B">
            <w:r w:rsidRPr="00DE624B">
              <w:t>Tech/Analysis Chief</w:t>
            </w:r>
          </w:p>
        </w:tc>
        <w:tc>
          <w:tcPr>
            <w:tcW w:w="2430" w:type="dxa"/>
          </w:tcPr>
          <w:p w14:paraId="2B003053" w14:textId="77777777" w:rsidR="0089571C" w:rsidRPr="00DE624B" w:rsidRDefault="0089571C" w:rsidP="00DE624B">
            <w:pPr>
              <w:rPr>
                <w:b/>
              </w:rPr>
            </w:pPr>
            <w:r w:rsidRPr="00DE624B">
              <w:rPr>
                <w:b/>
              </w:rPr>
              <w:t>800</w:t>
            </w:r>
          </w:p>
        </w:tc>
      </w:tr>
    </w:tbl>
    <w:p w14:paraId="2B003055" w14:textId="77777777" w:rsidR="0089571C" w:rsidRPr="00DE624B" w:rsidRDefault="0089571C" w:rsidP="00DE624B">
      <w:pPr>
        <w:rPr>
          <w:b/>
        </w:rPr>
      </w:pPr>
    </w:p>
    <w:p w14:paraId="2B003056" w14:textId="77777777" w:rsidR="001D4E06" w:rsidRPr="00DE624B" w:rsidRDefault="001D4E06" w:rsidP="00DE624B">
      <w:pPr>
        <w:pStyle w:val="Heading4"/>
        <w:rPr>
          <w:rFonts w:ascii="Times New Roman" w:hAnsi="Times New Roman"/>
        </w:rPr>
      </w:pPr>
      <w:r w:rsidRPr="00DE624B">
        <w:rPr>
          <w:rFonts w:ascii="Times New Roman" w:hAnsi="Times New Roman"/>
        </w:rPr>
        <w:t>CDRLs Associated with This Task</w:t>
      </w:r>
    </w:p>
    <w:p w14:paraId="2B003057" w14:textId="77777777" w:rsidR="00F21D7D" w:rsidRPr="00DE624B" w:rsidRDefault="00F21D7D" w:rsidP="00DE624B">
      <w:pPr>
        <w:pStyle w:val="Caption"/>
        <w:rPr>
          <w:rFonts w:ascii="Times New Roman" w:hAnsi="Times New Roman"/>
          <w:sz w:val="24"/>
        </w:rPr>
      </w:pPr>
      <w:r w:rsidRPr="00DE624B">
        <w:rPr>
          <w:rFonts w:ascii="Times New Roman" w:hAnsi="Times New Roman"/>
          <w:b/>
          <w:sz w:val="24"/>
        </w:rPr>
        <w:t>Table 1.2-</w:t>
      </w:r>
      <w:r w:rsidR="00122553" w:rsidRPr="00DE624B">
        <w:rPr>
          <w:rFonts w:ascii="Times New Roman" w:hAnsi="Times New Roman"/>
          <w:b/>
          <w:sz w:val="24"/>
        </w:rPr>
        <w:t>5</w:t>
      </w:r>
      <w:r w:rsidRPr="00DE624B">
        <w:rPr>
          <w:rFonts w:ascii="Times New Roman" w:hAnsi="Times New Roman"/>
          <w:b/>
          <w:sz w:val="24"/>
        </w:rPr>
        <w:t>.</w:t>
      </w:r>
      <w:r w:rsidRPr="00DE624B">
        <w:rPr>
          <w:rFonts w:ascii="Times New Roman" w:hAnsi="Times New Roman"/>
          <w:sz w:val="24"/>
        </w:rPr>
        <w:t xml:space="preserve"> CDRLs.</w:t>
      </w:r>
      <w:r w:rsidR="00F6738C" w:rsidRPr="00DE624B">
        <w:rPr>
          <w:rFonts w:ascii="Times New Roman" w:hAnsi="Times New Roman"/>
          <w:sz w:val="24"/>
        </w:rPr>
        <w:t xml:space="preserve"> </w:t>
      </w:r>
    </w:p>
    <w:tbl>
      <w:tblPr>
        <w:tblStyle w:val="LightGrid-Accent5"/>
        <w:tblW w:w="9558" w:type="dxa"/>
        <w:tblLook w:val="04A0" w:firstRow="1" w:lastRow="0" w:firstColumn="1" w:lastColumn="0" w:noHBand="0" w:noVBand="1"/>
      </w:tblPr>
      <w:tblGrid>
        <w:gridCol w:w="1982"/>
        <w:gridCol w:w="1541"/>
        <w:gridCol w:w="1549"/>
        <w:gridCol w:w="4486"/>
      </w:tblGrid>
      <w:tr w:rsidR="004B7C63" w:rsidRPr="00DE624B" w14:paraId="2B00305C" w14:textId="77777777" w:rsidTr="00E24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2B003058" w14:textId="77777777" w:rsidR="004B7C63" w:rsidRPr="00DE624B" w:rsidRDefault="004B7C63" w:rsidP="00DE624B">
            <w:pPr>
              <w:rPr>
                <w:rFonts w:ascii="Times New Roman" w:hAnsi="Times New Roman" w:cs="Times New Roman"/>
              </w:rPr>
            </w:pPr>
            <w:r w:rsidRPr="00DE624B">
              <w:rPr>
                <w:rFonts w:ascii="Times New Roman" w:hAnsi="Times New Roman" w:cs="Times New Roman"/>
              </w:rPr>
              <w:t>CDRL Number/Title</w:t>
            </w:r>
          </w:p>
        </w:tc>
        <w:tc>
          <w:tcPr>
            <w:tcW w:w="1557" w:type="dxa"/>
          </w:tcPr>
          <w:p w14:paraId="2B003059" w14:textId="77777777" w:rsidR="004B7C63" w:rsidRPr="00DE624B" w:rsidRDefault="004B7C63" w:rsidP="00DE62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624B">
              <w:rPr>
                <w:rFonts w:ascii="Times New Roman" w:hAnsi="Times New Roman" w:cs="Times New Roman"/>
              </w:rPr>
              <w:t>Due Date</w:t>
            </w:r>
          </w:p>
        </w:tc>
        <w:tc>
          <w:tcPr>
            <w:tcW w:w="1439" w:type="dxa"/>
          </w:tcPr>
          <w:p w14:paraId="2B00305A" w14:textId="77777777" w:rsidR="004B7C63" w:rsidRPr="00DE624B" w:rsidRDefault="004B7C63" w:rsidP="00DE62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624B">
              <w:rPr>
                <w:rFonts w:ascii="Times New Roman" w:hAnsi="Times New Roman" w:cs="Times New Roman"/>
              </w:rPr>
              <w:t>Performance Standard</w:t>
            </w:r>
          </w:p>
        </w:tc>
        <w:tc>
          <w:tcPr>
            <w:tcW w:w="4571" w:type="dxa"/>
          </w:tcPr>
          <w:p w14:paraId="2B00305B" w14:textId="77777777" w:rsidR="004B7C63" w:rsidRPr="00DE624B" w:rsidRDefault="004B7C63" w:rsidP="00DE62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624B">
              <w:rPr>
                <w:rFonts w:ascii="Times New Roman" w:hAnsi="Times New Roman" w:cs="Times New Roman"/>
              </w:rPr>
              <w:t>Development Notes</w:t>
            </w:r>
          </w:p>
        </w:tc>
      </w:tr>
      <w:tr w:rsidR="004B7C63" w:rsidRPr="00DE624B" w14:paraId="2B003061" w14:textId="77777777" w:rsidTr="00E24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2B00305D" w14:textId="77777777" w:rsidR="004B7C63" w:rsidRPr="00DE624B" w:rsidRDefault="004B7C63" w:rsidP="00DE624B">
            <w:pPr>
              <w:rPr>
                <w:rFonts w:ascii="Times New Roman" w:hAnsi="Times New Roman" w:cs="Times New Roman"/>
              </w:rPr>
            </w:pPr>
            <w:r w:rsidRPr="00DE624B">
              <w:rPr>
                <w:rFonts w:ascii="Times New Roman" w:hAnsi="Times New Roman" w:cs="Times New Roman"/>
              </w:rPr>
              <w:t>A006 – CASCOM OE Cell</w:t>
            </w:r>
          </w:p>
        </w:tc>
        <w:tc>
          <w:tcPr>
            <w:tcW w:w="1557" w:type="dxa"/>
          </w:tcPr>
          <w:p w14:paraId="2B00305E" w14:textId="77777777" w:rsidR="004B7C63" w:rsidRPr="00DE624B" w:rsidRDefault="004B7C63" w:rsidP="00DE624B">
            <w:pPr>
              <w:cnfStyle w:val="000000100000" w:firstRow="0" w:lastRow="0" w:firstColumn="0" w:lastColumn="0" w:oddVBand="0" w:evenVBand="0" w:oddHBand="1" w:evenHBand="0" w:firstRowFirstColumn="0" w:firstRowLastColumn="0" w:lastRowFirstColumn="0" w:lastRowLastColumn="0"/>
            </w:pPr>
            <w:r w:rsidRPr="00DE624B">
              <w:t>Within 30 days after start of contract</w:t>
            </w:r>
          </w:p>
        </w:tc>
        <w:tc>
          <w:tcPr>
            <w:tcW w:w="1439" w:type="dxa"/>
          </w:tcPr>
          <w:p w14:paraId="2B00305F" w14:textId="77777777" w:rsidR="004B7C63" w:rsidRPr="00DE624B" w:rsidRDefault="004B7C63" w:rsidP="00DE624B">
            <w:pPr>
              <w:cnfStyle w:val="000000100000" w:firstRow="0" w:lastRow="0" w:firstColumn="0" w:lastColumn="0" w:oddVBand="0" w:evenVBand="0" w:oddHBand="1" w:evenHBand="0" w:firstRowFirstColumn="0" w:firstRowLastColumn="0" w:lastRowFirstColumn="0" w:lastRowLastColumn="0"/>
            </w:pPr>
            <w:r w:rsidRPr="00DE624B">
              <w:t>Cell contains all required subject matter expertise</w:t>
            </w:r>
          </w:p>
        </w:tc>
        <w:tc>
          <w:tcPr>
            <w:tcW w:w="4571" w:type="dxa"/>
          </w:tcPr>
          <w:p w14:paraId="2B003060" w14:textId="77777777" w:rsidR="004B7C63" w:rsidRPr="00DE624B" w:rsidRDefault="004B7C63" w:rsidP="00DE624B">
            <w:pPr>
              <w:cnfStyle w:val="000000100000" w:firstRow="0" w:lastRow="0" w:firstColumn="0" w:lastColumn="0" w:oddVBand="0" w:evenVBand="0" w:oddHBand="1" w:evenHBand="0" w:firstRowFirstColumn="0" w:firstRowLastColumn="0" w:lastRowFirstColumn="0" w:lastRowLastColumn="0"/>
            </w:pPr>
            <w:r w:rsidRPr="00DE624B">
              <w:t>See the development notes provided in Section 1.1.</w:t>
            </w:r>
          </w:p>
        </w:tc>
      </w:tr>
      <w:tr w:rsidR="004B7C63" w:rsidRPr="00DE624B" w14:paraId="2B003066" w14:textId="77777777" w:rsidTr="00E24C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2B003062" w14:textId="77777777" w:rsidR="004B7C63" w:rsidRPr="00DE624B" w:rsidRDefault="004B7C63" w:rsidP="00DE624B">
            <w:pPr>
              <w:rPr>
                <w:rFonts w:ascii="Times New Roman" w:hAnsi="Times New Roman" w:cs="Times New Roman"/>
              </w:rPr>
            </w:pPr>
            <w:r w:rsidRPr="00DE624B">
              <w:rPr>
                <w:rFonts w:ascii="Times New Roman" w:hAnsi="Times New Roman" w:cs="Times New Roman"/>
              </w:rPr>
              <w:t>A009 – Unit Power Requirements</w:t>
            </w:r>
          </w:p>
        </w:tc>
        <w:tc>
          <w:tcPr>
            <w:tcW w:w="1557" w:type="dxa"/>
          </w:tcPr>
          <w:p w14:paraId="2B003063" w14:textId="77777777" w:rsidR="004B7C63" w:rsidRPr="00DE624B" w:rsidRDefault="004B7C63" w:rsidP="00DE624B">
            <w:pPr>
              <w:cnfStyle w:val="000000010000" w:firstRow="0" w:lastRow="0" w:firstColumn="0" w:lastColumn="0" w:oddVBand="0" w:evenVBand="0" w:oddHBand="0" w:evenHBand="1" w:firstRowFirstColumn="0" w:firstRowLastColumn="0" w:lastRowFirstColumn="0" w:lastRowLastColumn="0"/>
            </w:pPr>
            <w:r w:rsidRPr="00DE624B">
              <w:t>225 days after start of contract</w:t>
            </w:r>
          </w:p>
        </w:tc>
        <w:tc>
          <w:tcPr>
            <w:tcW w:w="1439" w:type="dxa"/>
          </w:tcPr>
          <w:p w14:paraId="2B003064" w14:textId="77777777" w:rsidR="004B7C63" w:rsidRPr="00DE624B" w:rsidRDefault="004B7C63" w:rsidP="00DE624B">
            <w:pPr>
              <w:cnfStyle w:val="000000010000" w:firstRow="0" w:lastRow="0" w:firstColumn="0" w:lastColumn="0" w:oddVBand="0" w:evenVBand="0" w:oddHBand="0" w:evenHBand="1" w:firstRowFirstColumn="0" w:firstRowLastColumn="0" w:lastRowFirstColumn="0" w:lastRowLastColumn="0"/>
            </w:pPr>
            <w:r w:rsidRPr="00DE624B">
              <w:t>Free of serious defects</w:t>
            </w:r>
          </w:p>
        </w:tc>
        <w:tc>
          <w:tcPr>
            <w:tcW w:w="4571" w:type="dxa"/>
          </w:tcPr>
          <w:p w14:paraId="2B003065" w14:textId="77777777" w:rsidR="004B7C63" w:rsidRPr="00DE624B" w:rsidRDefault="00FB1D19" w:rsidP="00DE624B">
            <w:pPr>
              <w:cnfStyle w:val="000000010000" w:firstRow="0" w:lastRow="0" w:firstColumn="0" w:lastColumn="0" w:oddVBand="0" w:evenVBand="0" w:oddHBand="0" w:evenHBand="1" w:firstRowFirstColumn="0" w:firstRowLastColumn="0" w:lastRowFirstColumn="0" w:lastRowLastColumn="0"/>
            </w:pPr>
            <w:r w:rsidRPr="00DE624B">
              <w:t>Acme</w:t>
            </w:r>
            <w:r w:rsidR="004B7C63" w:rsidRPr="00DE624B">
              <w:t xml:space="preserve"> is currently collecting and tabulating Army reports regarding real-time operational deployment energy consumption at the small unit level (company and below).. </w:t>
            </w:r>
          </w:p>
        </w:tc>
      </w:tr>
    </w:tbl>
    <w:p w14:paraId="2B003067" w14:textId="77777777" w:rsidR="006565C0" w:rsidRPr="00931E8D" w:rsidRDefault="006565C0" w:rsidP="00931E8D">
      <w:pPr>
        <w:rPr>
          <w:b/>
        </w:rPr>
      </w:pPr>
    </w:p>
    <w:p w14:paraId="2B003068" w14:textId="77777777" w:rsidR="00E60C41" w:rsidRDefault="00E60C41" w:rsidP="00E60C41">
      <w:bookmarkStart w:id="3" w:name="_Toc206415455"/>
      <w:bookmarkEnd w:id="3"/>
    </w:p>
    <w:sectPr w:rsidR="00E60C41" w:rsidSect="003F3F76">
      <w:pgSz w:w="15840" w:h="12240" w:orient="landscape"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78031" w14:textId="77777777" w:rsidR="001246BB" w:rsidRPr="00F062FF" w:rsidRDefault="001246BB" w:rsidP="000715B1">
      <w:r>
        <w:separator/>
      </w:r>
    </w:p>
    <w:p w14:paraId="272DA67A" w14:textId="77777777" w:rsidR="001246BB" w:rsidRDefault="001246BB"/>
  </w:endnote>
  <w:endnote w:type="continuationSeparator" w:id="0">
    <w:p w14:paraId="633B78EE" w14:textId="77777777" w:rsidR="001246BB" w:rsidRPr="00F062FF" w:rsidRDefault="001246BB" w:rsidP="000715B1">
      <w:r>
        <w:continuationSeparator/>
      </w:r>
    </w:p>
    <w:p w14:paraId="7B9B2596" w14:textId="77777777" w:rsidR="001246BB" w:rsidRDefault="00124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152119"/>
      <w:docPartObj>
        <w:docPartGallery w:val="Page Numbers (Bottom of Page)"/>
        <w:docPartUnique/>
      </w:docPartObj>
    </w:sdtPr>
    <w:sdtContent>
      <w:sdt>
        <w:sdtPr>
          <w:id w:val="-1769616900"/>
          <w:docPartObj>
            <w:docPartGallery w:val="Page Numbers (Top of Page)"/>
            <w:docPartUnique/>
          </w:docPartObj>
        </w:sdtPr>
        <w:sdtContent>
          <w:p w14:paraId="0A643E4B" w14:textId="3F8DFAAE" w:rsidR="001675A9" w:rsidRDefault="001675A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3E3757" w14:textId="77777777" w:rsidR="001675A9" w:rsidRDefault="0016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3C68" w14:textId="77777777" w:rsidR="001246BB" w:rsidRPr="00F062FF" w:rsidRDefault="001246BB" w:rsidP="000715B1">
      <w:r>
        <w:separator/>
      </w:r>
    </w:p>
    <w:p w14:paraId="0A9D2A04" w14:textId="77777777" w:rsidR="001246BB" w:rsidRDefault="001246BB"/>
  </w:footnote>
  <w:footnote w:type="continuationSeparator" w:id="0">
    <w:p w14:paraId="1C4A8B69" w14:textId="77777777" w:rsidR="001246BB" w:rsidRPr="00F062FF" w:rsidRDefault="001246BB" w:rsidP="000715B1">
      <w:r>
        <w:continuationSeparator/>
      </w:r>
    </w:p>
    <w:p w14:paraId="72D2FE0D" w14:textId="77777777" w:rsidR="001246BB" w:rsidRDefault="00124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X="-252" w:tblpY="1"/>
      <w:tblW w:w="5204" w:type="pct"/>
      <w:tblLook w:val="04A0" w:firstRow="1" w:lastRow="0" w:firstColumn="1" w:lastColumn="0" w:noHBand="0" w:noVBand="1"/>
    </w:tblPr>
    <w:tblGrid>
      <w:gridCol w:w="6674"/>
      <w:gridCol w:w="4042"/>
    </w:tblGrid>
    <w:tr w:rsidR="0091138F" w:rsidRPr="008E0D90" w14:paraId="2B003085" w14:textId="77777777" w:rsidTr="00DF2BB6">
      <w:trPr>
        <w:trHeight w:val="358"/>
      </w:trPr>
      <w:tc>
        <w:tcPr>
          <w:tcW w:w="3114" w:type="pct"/>
          <w:shd w:val="clear" w:color="auto" w:fill="auto"/>
        </w:tcPr>
        <w:p w14:paraId="2B003083" w14:textId="77777777" w:rsidR="0091138F" w:rsidRPr="00E35DA1" w:rsidRDefault="0091138F" w:rsidP="004A151D">
          <w:pPr>
            <w:pStyle w:val="Header"/>
            <w:spacing w:line="276" w:lineRule="auto"/>
            <w:ind w:left="270"/>
            <w:rPr>
              <w:rFonts w:ascii="Arial" w:eastAsiaTheme="majorEastAsia" w:hAnsi="Arial" w:cstheme="majorBidi"/>
              <w:bCs/>
              <w:color w:val="808080" w:themeColor="background1" w:themeShade="80"/>
              <w:sz w:val="22"/>
              <w:szCs w:val="22"/>
            </w:rPr>
          </w:pPr>
        </w:p>
      </w:tc>
      <w:tc>
        <w:tcPr>
          <w:tcW w:w="1886" w:type="pct"/>
          <w:vAlign w:val="center"/>
        </w:tcPr>
        <w:p w14:paraId="2B003084" w14:textId="77777777" w:rsidR="0091138F" w:rsidRPr="00DF2BB6" w:rsidRDefault="0091138F" w:rsidP="00DF2BB6">
          <w:pPr>
            <w:rPr>
              <w:rFonts w:ascii="Cambria" w:hAnsi="Cambria"/>
              <w:color w:val="145BBC" w:themeColor="accent1"/>
              <w:sz w:val="22"/>
              <w:szCs w:val="22"/>
            </w:rPr>
          </w:pPr>
        </w:p>
      </w:tc>
    </w:tr>
  </w:tbl>
  <w:p w14:paraId="2B003086" w14:textId="77777777" w:rsidR="0091138F" w:rsidRDefault="0091138F" w:rsidP="003B4E7A">
    <w:pPr>
      <w:pStyle w:val="Header"/>
      <w:jc w:val="right"/>
    </w:pPr>
  </w:p>
  <w:p w14:paraId="2B003087" w14:textId="77777777" w:rsidR="0091138F" w:rsidRDefault="0091138F" w:rsidP="003B4E7A">
    <w:pPr>
      <w:pStyle w:val="Header"/>
      <w:jc w:val="right"/>
    </w:pPr>
  </w:p>
  <w:p w14:paraId="2B003088" w14:textId="77777777" w:rsidR="0091138F" w:rsidRDefault="0091138F" w:rsidP="003B4E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C8827A6"/>
    <w:lvl w:ilvl="0">
      <w:start w:val="1"/>
      <w:numFmt w:val="bullet"/>
      <w:pStyle w:val="ListBullet2"/>
      <w:lvlText w:val=""/>
      <w:lvlJc w:val="left"/>
      <w:pPr>
        <w:ind w:left="720" w:hanging="360"/>
      </w:pPr>
      <w:rPr>
        <w:rFonts w:ascii="Symbol" w:hAnsi="Symbol" w:cs="Times New Roman" w:hint="default"/>
        <w:color w:val="0F243E"/>
        <w:sz w:val="24"/>
      </w:rPr>
    </w:lvl>
  </w:abstractNum>
  <w:abstractNum w:abstractNumId="1" w15:restartNumberingAfterBreak="0">
    <w:nsid w:val="FFFFFF89"/>
    <w:multiLevelType w:val="singleLevel"/>
    <w:tmpl w:val="12DE2F28"/>
    <w:lvl w:ilvl="0">
      <w:start w:val="1"/>
      <w:numFmt w:val="bullet"/>
      <w:pStyle w:val="ListBullet"/>
      <w:lvlText w:val=""/>
      <w:lvlJc w:val="left"/>
      <w:pPr>
        <w:ind w:left="360" w:hanging="360"/>
      </w:pPr>
      <w:rPr>
        <w:rFonts w:ascii="Wingdings" w:hAnsi="Wingdings" w:hint="default"/>
        <w:color w:val="0F243E"/>
        <w:sz w:val="24"/>
      </w:rPr>
    </w:lvl>
  </w:abstractNum>
  <w:abstractNum w:abstractNumId="2" w15:restartNumberingAfterBreak="0">
    <w:nsid w:val="012D3B3E"/>
    <w:multiLevelType w:val="hybridMultilevel"/>
    <w:tmpl w:val="CE4A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3DA0"/>
    <w:multiLevelType w:val="hybridMultilevel"/>
    <w:tmpl w:val="C63A31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2BF7702"/>
    <w:multiLevelType w:val="hybridMultilevel"/>
    <w:tmpl w:val="B8E0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A2D42"/>
    <w:multiLevelType w:val="hybridMultilevel"/>
    <w:tmpl w:val="E2A6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824"/>
    <w:multiLevelType w:val="hybridMultilevel"/>
    <w:tmpl w:val="5B92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65219"/>
    <w:multiLevelType w:val="hybridMultilevel"/>
    <w:tmpl w:val="D8583548"/>
    <w:lvl w:ilvl="0" w:tplc="39CA5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D4E87"/>
    <w:multiLevelType w:val="hybridMultilevel"/>
    <w:tmpl w:val="3062A7A0"/>
    <w:lvl w:ilvl="0" w:tplc="2FCE5200">
      <w:start w:val="1"/>
      <w:numFmt w:val="bullet"/>
      <w:pStyle w:val="TableBullet2"/>
      <w:lvlText w:val=""/>
      <w:lvlJc w:val="left"/>
      <w:pPr>
        <w:ind w:left="720" w:hanging="360"/>
      </w:pPr>
      <w:rPr>
        <w:rFonts w:ascii="Symbol" w:hAnsi="Symbol" w:hint="default"/>
        <w:color w:val="336600"/>
        <w:sz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00816"/>
    <w:multiLevelType w:val="hybridMultilevel"/>
    <w:tmpl w:val="C83E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2023A"/>
    <w:multiLevelType w:val="hybridMultilevel"/>
    <w:tmpl w:val="0FA6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325DA"/>
    <w:multiLevelType w:val="hybridMultilevel"/>
    <w:tmpl w:val="ACE8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A6479"/>
    <w:multiLevelType w:val="hybridMultilevel"/>
    <w:tmpl w:val="340C21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780568"/>
    <w:multiLevelType w:val="hybridMultilevel"/>
    <w:tmpl w:val="281AE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783849"/>
    <w:multiLevelType w:val="hybridMultilevel"/>
    <w:tmpl w:val="1026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B57636"/>
    <w:multiLevelType w:val="hybridMultilevel"/>
    <w:tmpl w:val="9D0E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050B9"/>
    <w:multiLevelType w:val="multilevel"/>
    <w:tmpl w:val="2BEECA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D07416"/>
    <w:multiLevelType w:val="hybridMultilevel"/>
    <w:tmpl w:val="45B6E472"/>
    <w:lvl w:ilvl="0" w:tplc="04090001">
      <w:start w:val="1"/>
      <w:numFmt w:val="bullet"/>
      <w:pStyle w:val="TableBullet"/>
      <w:lvlText w:val=""/>
      <w:lvlJc w:val="left"/>
      <w:pPr>
        <w:ind w:left="360" w:hanging="360"/>
      </w:pPr>
      <w:rPr>
        <w:rFonts w:ascii="Wingdings" w:hAnsi="Wingdings" w:hint="default"/>
        <w:color w:val="0F243E"/>
        <w:sz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3688D"/>
    <w:multiLevelType w:val="hybridMultilevel"/>
    <w:tmpl w:val="4BC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37C9E"/>
    <w:multiLevelType w:val="hybridMultilevel"/>
    <w:tmpl w:val="2B5482A0"/>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20" w15:restartNumberingAfterBreak="0">
    <w:nsid w:val="4BBE7F21"/>
    <w:multiLevelType w:val="hybridMultilevel"/>
    <w:tmpl w:val="4EA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A10C9"/>
    <w:multiLevelType w:val="hybridMultilevel"/>
    <w:tmpl w:val="653ADF52"/>
    <w:lvl w:ilvl="0" w:tplc="0409000F">
      <w:start w:val="1"/>
      <w:numFmt w:val="bullet"/>
      <w:lvlText w:val=""/>
      <w:lvlJc w:val="left"/>
      <w:pPr>
        <w:ind w:left="720" w:hanging="360"/>
      </w:pPr>
      <w:rPr>
        <w:rFonts w:ascii="Wingdings" w:hAnsi="Wingdings" w:hint="default"/>
        <w:color w:val="0F243E"/>
        <w:sz w:val="18"/>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35C341C"/>
    <w:multiLevelType w:val="hybridMultilevel"/>
    <w:tmpl w:val="CE0E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0471B"/>
    <w:multiLevelType w:val="hybridMultilevel"/>
    <w:tmpl w:val="0EA2A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FD41FBA"/>
    <w:multiLevelType w:val="hybridMultilevel"/>
    <w:tmpl w:val="AA1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8676A"/>
    <w:multiLevelType w:val="hybridMultilevel"/>
    <w:tmpl w:val="42761A68"/>
    <w:lvl w:ilvl="0" w:tplc="9348BA9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37EB4"/>
    <w:multiLevelType w:val="hybridMultilevel"/>
    <w:tmpl w:val="3C32C27A"/>
    <w:lvl w:ilvl="0" w:tplc="AEE40BF4">
      <w:start w:val="1"/>
      <w:numFmt w:val="bullet"/>
      <w:pStyle w:val="ListBullet3"/>
      <w:lvlText w:val=""/>
      <w:lvlJc w:val="left"/>
      <w:pPr>
        <w:ind w:left="1152" w:hanging="360"/>
      </w:pPr>
      <w:rPr>
        <w:rFonts w:ascii="Symbol" w:hAnsi="Symbol" w:hint="default"/>
        <w:color w:val="336600"/>
        <w:sz w:val="18"/>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E354339"/>
    <w:multiLevelType w:val="hybridMultilevel"/>
    <w:tmpl w:val="A8AE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84D3E"/>
    <w:multiLevelType w:val="hybridMultilevel"/>
    <w:tmpl w:val="2766BA3A"/>
    <w:lvl w:ilvl="0" w:tplc="9348BA9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B7801"/>
    <w:multiLevelType w:val="hybridMultilevel"/>
    <w:tmpl w:val="ED02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C6A58"/>
    <w:multiLevelType w:val="hybridMultilevel"/>
    <w:tmpl w:val="A5924DB4"/>
    <w:lvl w:ilvl="0" w:tplc="04090001">
      <w:start w:val="1"/>
      <w:numFmt w:val="bullet"/>
      <w:pStyle w:val="TableBullet3"/>
      <w:lvlText w:val=""/>
      <w:lvlJc w:val="left"/>
      <w:pPr>
        <w:ind w:left="648" w:hanging="360"/>
      </w:pPr>
      <w:rPr>
        <w:rFonts w:ascii="Symbol" w:hAnsi="Symbol" w:hint="default"/>
        <w:color w:val="336600"/>
        <w:sz w:val="18"/>
      </w:rPr>
    </w:lvl>
    <w:lvl w:ilvl="1" w:tplc="04090003" w:tentative="1">
      <w:start w:val="1"/>
      <w:numFmt w:val="bullet"/>
      <w:lvlText w:val="o"/>
      <w:lvlJc w:val="left"/>
      <w:pPr>
        <w:ind w:left="1728" w:hanging="360"/>
      </w:pPr>
      <w:rPr>
        <w:rFonts w:ascii="Courier New" w:hAnsi="Courier New" w:cs="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Symbo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Symbol"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E531223"/>
    <w:multiLevelType w:val="hybridMultilevel"/>
    <w:tmpl w:val="0AF8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303629">
    <w:abstractNumId w:val="1"/>
  </w:num>
  <w:num w:numId="2" w16cid:durableId="450050266">
    <w:abstractNumId w:val="0"/>
  </w:num>
  <w:num w:numId="3" w16cid:durableId="2051953548">
    <w:abstractNumId w:val="17"/>
  </w:num>
  <w:num w:numId="4" w16cid:durableId="465322132">
    <w:abstractNumId w:val="8"/>
  </w:num>
  <w:num w:numId="5" w16cid:durableId="1518234768">
    <w:abstractNumId w:val="30"/>
  </w:num>
  <w:num w:numId="6" w16cid:durableId="120392819">
    <w:abstractNumId w:val="26"/>
  </w:num>
  <w:num w:numId="7" w16cid:durableId="1042482048">
    <w:abstractNumId w:val="21"/>
  </w:num>
  <w:num w:numId="8" w16cid:durableId="969171360">
    <w:abstractNumId w:val="14"/>
  </w:num>
  <w:num w:numId="9" w16cid:durableId="993488148">
    <w:abstractNumId w:val="27"/>
  </w:num>
  <w:num w:numId="10" w16cid:durableId="85083497">
    <w:abstractNumId w:val="16"/>
  </w:num>
  <w:num w:numId="11" w16cid:durableId="447967941">
    <w:abstractNumId w:val="29"/>
  </w:num>
  <w:num w:numId="12" w16cid:durableId="293874137">
    <w:abstractNumId w:val="3"/>
  </w:num>
  <w:num w:numId="13" w16cid:durableId="981351043">
    <w:abstractNumId w:val="15"/>
  </w:num>
  <w:num w:numId="14" w16cid:durableId="1926576276">
    <w:abstractNumId w:val="9"/>
  </w:num>
  <w:num w:numId="15" w16cid:durableId="807668310">
    <w:abstractNumId w:val="4"/>
  </w:num>
  <w:num w:numId="16" w16cid:durableId="541213881">
    <w:abstractNumId w:val="11"/>
  </w:num>
  <w:num w:numId="17" w16cid:durableId="1485775339">
    <w:abstractNumId w:val="6"/>
  </w:num>
  <w:num w:numId="18" w16cid:durableId="67654015">
    <w:abstractNumId w:val="27"/>
  </w:num>
  <w:num w:numId="19" w16cid:durableId="1223130160">
    <w:abstractNumId w:val="2"/>
  </w:num>
  <w:num w:numId="20" w16cid:durableId="1683240401">
    <w:abstractNumId w:val="31"/>
  </w:num>
  <w:num w:numId="21" w16cid:durableId="1600866323">
    <w:abstractNumId w:val="10"/>
  </w:num>
  <w:num w:numId="22" w16cid:durableId="1944457221">
    <w:abstractNumId w:val="20"/>
  </w:num>
  <w:num w:numId="23" w16cid:durableId="18893694">
    <w:abstractNumId w:val="7"/>
  </w:num>
  <w:num w:numId="24" w16cid:durableId="1783574565">
    <w:abstractNumId w:val="25"/>
  </w:num>
  <w:num w:numId="25" w16cid:durableId="2036271406">
    <w:abstractNumId w:val="28"/>
  </w:num>
  <w:num w:numId="26" w16cid:durableId="1317536408">
    <w:abstractNumId w:val="13"/>
  </w:num>
  <w:num w:numId="27" w16cid:durableId="1382317596">
    <w:abstractNumId w:val="23"/>
  </w:num>
  <w:num w:numId="28" w16cid:durableId="241067074">
    <w:abstractNumId w:val="1"/>
  </w:num>
  <w:num w:numId="29" w16cid:durableId="1922909330">
    <w:abstractNumId w:val="14"/>
  </w:num>
  <w:num w:numId="30" w16cid:durableId="1969385355">
    <w:abstractNumId w:val="22"/>
  </w:num>
  <w:num w:numId="31" w16cid:durableId="71201044">
    <w:abstractNumId w:val="24"/>
  </w:num>
  <w:num w:numId="32" w16cid:durableId="1605068799">
    <w:abstractNumId w:val="29"/>
  </w:num>
  <w:num w:numId="33" w16cid:durableId="384529326">
    <w:abstractNumId w:val="12"/>
  </w:num>
  <w:num w:numId="34" w16cid:durableId="1175535568">
    <w:abstractNumId w:val="5"/>
  </w:num>
  <w:num w:numId="35" w16cid:durableId="1562212294">
    <w:abstractNumId w:val="19"/>
  </w:num>
  <w:num w:numId="36" w16cid:durableId="421537172">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124"/>
    <w:rsid w:val="00003925"/>
    <w:rsid w:val="00005266"/>
    <w:rsid w:val="00005924"/>
    <w:rsid w:val="00007451"/>
    <w:rsid w:val="00007612"/>
    <w:rsid w:val="000114DD"/>
    <w:rsid w:val="00011855"/>
    <w:rsid w:val="000123B3"/>
    <w:rsid w:val="00012C5B"/>
    <w:rsid w:val="000166C3"/>
    <w:rsid w:val="000166D3"/>
    <w:rsid w:val="0002046B"/>
    <w:rsid w:val="00020EC1"/>
    <w:rsid w:val="00025357"/>
    <w:rsid w:val="000308E1"/>
    <w:rsid w:val="00031010"/>
    <w:rsid w:val="000311EE"/>
    <w:rsid w:val="00036658"/>
    <w:rsid w:val="0004164E"/>
    <w:rsid w:val="00044F44"/>
    <w:rsid w:val="00050152"/>
    <w:rsid w:val="00057155"/>
    <w:rsid w:val="000579F7"/>
    <w:rsid w:val="00060AE8"/>
    <w:rsid w:val="00063439"/>
    <w:rsid w:val="00064B32"/>
    <w:rsid w:val="000715B1"/>
    <w:rsid w:val="00073F59"/>
    <w:rsid w:val="000743BE"/>
    <w:rsid w:val="00076535"/>
    <w:rsid w:val="00092CC5"/>
    <w:rsid w:val="000943AD"/>
    <w:rsid w:val="00094FBD"/>
    <w:rsid w:val="000A087D"/>
    <w:rsid w:val="000A2B7D"/>
    <w:rsid w:val="000A493D"/>
    <w:rsid w:val="000B168D"/>
    <w:rsid w:val="000B40CC"/>
    <w:rsid w:val="000B7449"/>
    <w:rsid w:val="000C2023"/>
    <w:rsid w:val="000C57F6"/>
    <w:rsid w:val="000C7D82"/>
    <w:rsid w:val="000D3080"/>
    <w:rsid w:val="000D5A86"/>
    <w:rsid w:val="000E6AAA"/>
    <w:rsid w:val="000F0743"/>
    <w:rsid w:val="00107989"/>
    <w:rsid w:val="001108CD"/>
    <w:rsid w:val="00110AAD"/>
    <w:rsid w:val="0011444C"/>
    <w:rsid w:val="00117AE9"/>
    <w:rsid w:val="00122553"/>
    <w:rsid w:val="00122BC7"/>
    <w:rsid w:val="001246BB"/>
    <w:rsid w:val="00124FD7"/>
    <w:rsid w:val="00125413"/>
    <w:rsid w:val="001257E6"/>
    <w:rsid w:val="00126D91"/>
    <w:rsid w:val="00127F56"/>
    <w:rsid w:val="00141BFA"/>
    <w:rsid w:val="00143AC6"/>
    <w:rsid w:val="001546E5"/>
    <w:rsid w:val="001555E1"/>
    <w:rsid w:val="00156B94"/>
    <w:rsid w:val="00162714"/>
    <w:rsid w:val="0016320C"/>
    <w:rsid w:val="001675A9"/>
    <w:rsid w:val="001761E8"/>
    <w:rsid w:val="00182617"/>
    <w:rsid w:val="00183244"/>
    <w:rsid w:val="00185B65"/>
    <w:rsid w:val="00187B0F"/>
    <w:rsid w:val="00187D36"/>
    <w:rsid w:val="001A1D99"/>
    <w:rsid w:val="001A2DE7"/>
    <w:rsid w:val="001B130E"/>
    <w:rsid w:val="001B277B"/>
    <w:rsid w:val="001B4D7A"/>
    <w:rsid w:val="001B6FEB"/>
    <w:rsid w:val="001C3297"/>
    <w:rsid w:val="001C3BE9"/>
    <w:rsid w:val="001C3EDC"/>
    <w:rsid w:val="001C7BAA"/>
    <w:rsid w:val="001D4E06"/>
    <w:rsid w:val="001E1674"/>
    <w:rsid w:val="001E17F7"/>
    <w:rsid w:val="001E62D4"/>
    <w:rsid w:val="001E637F"/>
    <w:rsid w:val="001F058F"/>
    <w:rsid w:val="001F2851"/>
    <w:rsid w:val="001F2EA9"/>
    <w:rsid w:val="001F6172"/>
    <w:rsid w:val="00200F2E"/>
    <w:rsid w:val="002026A3"/>
    <w:rsid w:val="002062A4"/>
    <w:rsid w:val="0021028E"/>
    <w:rsid w:val="00214478"/>
    <w:rsid w:val="00216785"/>
    <w:rsid w:val="00217426"/>
    <w:rsid w:val="002266D3"/>
    <w:rsid w:val="002270CA"/>
    <w:rsid w:val="0023067C"/>
    <w:rsid w:val="0023515B"/>
    <w:rsid w:val="00235A79"/>
    <w:rsid w:val="00237F92"/>
    <w:rsid w:val="00246CF6"/>
    <w:rsid w:val="00252EE8"/>
    <w:rsid w:val="002639DC"/>
    <w:rsid w:val="002661A9"/>
    <w:rsid w:val="0026638C"/>
    <w:rsid w:val="00277D9F"/>
    <w:rsid w:val="002844CE"/>
    <w:rsid w:val="00284E9D"/>
    <w:rsid w:val="00286034"/>
    <w:rsid w:val="00286575"/>
    <w:rsid w:val="00287F7D"/>
    <w:rsid w:val="00291AA6"/>
    <w:rsid w:val="00291D74"/>
    <w:rsid w:val="0029471E"/>
    <w:rsid w:val="00294899"/>
    <w:rsid w:val="00294C85"/>
    <w:rsid w:val="002A1A79"/>
    <w:rsid w:val="002A2DCE"/>
    <w:rsid w:val="002A3290"/>
    <w:rsid w:val="002A46CD"/>
    <w:rsid w:val="002A5083"/>
    <w:rsid w:val="002A7358"/>
    <w:rsid w:val="002A79DC"/>
    <w:rsid w:val="002B17AC"/>
    <w:rsid w:val="002B2165"/>
    <w:rsid w:val="002B2635"/>
    <w:rsid w:val="002B286B"/>
    <w:rsid w:val="002B35F3"/>
    <w:rsid w:val="002B6803"/>
    <w:rsid w:val="002C787E"/>
    <w:rsid w:val="002C7C16"/>
    <w:rsid w:val="002D30D2"/>
    <w:rsid w:val="002D30DE"/>
    <w:rsid w:val="002D4168"/>
    <w:rsid w:val="002D6050"/>
    <w:rsid w:val="002E05F6"/>
    <w:rsid w:val="002E73C4"/>
    <w:rsid w:val="002F1D32"/>
    <w:rsid w:val="002F1FA7"/>
    <w:rsid w:val="002F31C9"/>
    <w:rsid w:val="002F737E"/>
    <w:rsid w:val="00300976"/>
    <w:rsid w:val="00304D59"/>
    <w:rsid w:val="0030547A"/>
    <w:rsid w:val="00306C64"/>
    <w:rsid w:val="00306E7F"/>
    <w:rsid w:val="00307B7B"/>
    <w:rsid w:val="003110FE"/>
    <w:rsid w:val="00313273"/>
    <w:rsid w:val="00315B76"/>
    <w:rsid w:val="003203AE"/>
    <w:rsid w:val="00336F92"/>
    <w:rsid w:val="003406F9"/>
    <w:rsid w:val="00344F90"/>
    <w:rsid w:val="0034587C"/>
    <w:rsid w:val="003464CD"/>
    <w:rsid w:val="0034684B"/>
    <w:rsid w:val="003509FE"/>
    <w:rsid w:val="00351038"/>
    <w:rsid w:val="00356A7D"/>
    <w:rsid w:val="00360E6A"/>
    <w:rsid w:val="00362DE5"/>
    <w:rsid w:val="003646A9"/>
    <w:rsid w:val="00366484"/>
    <w:rsid w:val="00370371"/>
    <w:rsid w:val="00380951"/>
    <w:rsid w:val="0038160E"/>
    <w:rsid w:val="003953A2"/>
    <w:rsid w:val="003973E6"/>
    <w:rsid w:val="0039761E"/>
    <w:rsid w:val="003A43DC"/>
    <w:rsid w:val="003B167E"/>
    <w:rsid w:val="003B3D24"/>
    <w:rsid w:val="003B4348"/>
    <w:rsid w:val="003B4E7A"/>
    <w:rsid w:val="003B5A09"/>
    <w:rsid w:val="003B722A"/>
    <w:rsid w:val="003C0151"/>
    <w:rsid w:val="003C11FF"/>
    <w:rsid w:val="003C3C33"/>
    <w:rsid w:val="003C4D43"/>
    <w:rsid w:val="003D1033"/>
    <w:rsid w:val="003D2848"/>
    <w:rsid w:val="003D3DD9"/>
    <w:rsid w:val="003D6326"/>
    <w:rsid w:val="003E3C90"/>
    <w:rsid w:val="003F1FE0"/>
    <w:rsid w:val="003F3F76"/>
    <w:rsid w:val="003F435E"/>
    <w:rsid w:val="003F555B"/>
    <w:rsid w:val="003F65EE"/>
    <w:rsid w:val="003F7716"/>
    <w:rsid w:val="00400714"/>
    <w:rsid w:val="004037DF"/>
    <w:rsid w:val="00405545"/>
    <w:rsid w:val="0040593C"/>
    <w:rsid w:val="0041031E"/>
    <w:rsid w:val="00410B76"/>
    <w:rsid w:val="00413A6A"/>
    <w:rsid w:val="004164C4"/>
    <w:rsid w:val="0041662B"/>
    <w:rsid w:val="00417471"/>
    <w:rsid w:val="00417661"/>
    <w:rsid w:val="00420CB0"/>
    <w:rsid w:val="00421BA4"/>
    <w:rsid w:val="00423308"/>
    <w:rsid w:val="00431731"/>
    <w:rsid w:val="00431A3A"/>
    <w:rsid w:val="004325C5"/>
    <w:rsid w:val="00434845"/>
    <w:rsid w:val="0044182D"/>
    <w:rsid w:val="00441A91"/>
    <w:rsid w:val="0045184B"/>
    <w:rsid w:val="00454A19"/>
    <w:rsid w:val="0045771E"/>
    <w:rsid w:val="00461B5E"/>
    <w:rsid w:val="00471CAF"/>
    <w:rsid w:val="00473BCE"/>
    <w:rsid w:val="0048000E"/>
    <w:rsid w:val="004807B5"/>
    <w:rsid w:val="00482672"/>
    <w:rsid w:val="00484545"/>
    <w:rsid w:val="00484F26"/>
    <w:rsid w:val="00487ECE"/>
    <w:rsid w:val="00490958"/>
    <w:rsid w:val="004A151D"/>
    <w:rsid w:val="004A6245"/>
    <w:rsid w:val="004A63E8"/>
    <w:rsid w:val="004A6F15"/>
    <w:rsid w:val="004A7D60"/>
    <w:rsid w:val="004B15BF"/>
    <w:rsid w:val="004B21D5"/>
    <w:rsid w:val="004B3ED1"/>
    <w:rsid w:val="004B4EF6"/>
    <w:rsid w:val="004B7C63"/>
    <w:rsid w:val="004C0584"/>
    <w:rsid w:val="004C1076"/>
    <w:rsid w:val="004C24CC"/>
    <w:rsid w:val="004C2D3F"/>
    <w:rsid w:val="004C77D4"/>
    <w:rsid w:val="004D4EC8"/>
    <w:rsid w:val="004D5A7A"/>
    <w:rsid w:val="004D5C9D"/>
    <w:rsid w:val="004E23E6"/>
    <w:rsid w:val="004E3B20"/>
    <w:rsid w:val="004E5D9E"/>
    <w:rsid w:val="004F53F0"/>
    <w:rsid w:val="004F7C01"/>
    <w:rsid w:val="00503F37"/>
    <w:rsid w:val="005056D0"/>
    <w:rsid w:val="00507A0E"/>
    <w:rsid w:val="00510386"/>
    <w:rsid w:val="00517BE8"/>
    <w:rsid w:val="00520994"/>
    <w:rsid w:val="0052344E"/>
    <w:rsid w:val="00523C85"/>
    <w:rsid w:val="0054252D"/>
    <w:rsid w:val="00544D98"/>
    <w:rsid w:val="00546E74"/>
    <w:rsid w:val="00547D72"/>
    <w:rsid w:val="00551EBD"/>
    <w:rsid w:val="00553744"/>
    <w:rsid w:val="005562C6"/>
    <w:rsid w:val="00556B40"/>
    <w:rsid w:val="00557D6F"/>
    <w:rsid w:val="005626E6"/>
    <w:rsid w:val="00565216"/>
    <w:rsid w:val="0056597E"/>
    <w:rsid w:val="00570EDA"/>
    <w:rsid w:val="00571BA1"/>
    <w:rsid w:val="00580A61"/>
    <w:rsid w:val="00581622"/>
    <w:rsid w:val="00581D32"/>
    <w:rsid w:val="00583E2F"/>
    <w:rsid w:val="00585A80"/>
    <w:rsid w:val="005860C5"/>
    <w:rsid w:val="005865A9"/>
    <w:rsid w:val="00592DAD"/>
    <w:rsid w:val="0059378A"/>
    <w:rsid w:val="005A043D"/>
    <w:rsid w:val="005A3273"/>
    <w:rsid w:val="005A335B"/>
    <w:rsid w:val="005A4F6B"/>
    <w:rsid w:val="005B5FD1"/>
    <w:rsid w:val="005B6196"/>
    <w:rsid w:val="005B6EAF"/>
    <w:rsid w:val="005B7D34"/>
    <w:rsid w:val="005C2140"/>
    <w:rsid w:val="005C7344"/>
    <w:rsid w:val="005C7D94"/>
    <w:rsid w:val="005D361E"/>
    <w:rsid w:val="005D7F62"/>
    <w:rsid w:val="005E24D8"/>
    <w:rsid w:val="005E2795"/>
    <w:rsid w:val="005E3BA1"/>
    <w:rsid w:val="005E7530"/>
    <w:rsid w:val="005F6B84"/>
    <w:rsid w:val="0060058B"/>
    <w:rsid w:val="00601818"/>
    <w:rsid w:val="006023CF"/>
    <w:rsid w:val="00602762"/>
    <w:rsid w:val="0060482A"/>
    <w:rsid w:val="00607AC0"/>
    <w:rsid w:val="0062106A"/>
    <w:rsid w:val="006227FE"/>
    <w:rsid w:val="00623875"/>
    <w:rsid w:val="00632016"/>
    <w:rsid w:val="00633C23"/>
    <w:rsid w:val="00635FEF"/>
    <w:rsid w:val="006364B6"/>
    <w:rsid w:val="006365A0"/>
    <w:rsid w:val="00640355"/>
    <w:rsid w:val="006425D6"/>
    <w:rsid w:val="00642664"/>
    <w:rsid w:val="006456FE"/>
    <w:rsid w:val="00654A59"/>
    <w:rsid w:val="0065594A"/>
    <w:rsid w:val="006565C0"/>
    <w:rsid w:val="0066537B"/>
    <w:rsid w:val="00665C5E"/>
    <w:rsid w:val="0066772B"/>
    <w:rsid w:val="00667DD8"/>
    <w:rsid w:val="00670F79"/>
    <w:rsid w:val="006755AE"/>
    <w:rsid w:val="006769D8"/>
    <w:rsid w:val="00681A5F"/>
    <w:rsid w:val="00681D87"/>
    <w:rsid w:val="00682233"/>
    <w:rsid w:val="00685DBF"/>
    <w:rsid w:val="00686B4B"/>
    <w:rsid w:val="006949F1"/>
    <w:rsid w:val="00696687"/>
    <w:rsid w:val="006A0A83"/>
    <w:rsid w:val="006A19F2"/>
    <w:rsid w:val="006A3D4A"/>
    <w:rsid w:val="006A4B9A"/>
    <w:rsid w:val="006B080A"/>
    <w:rsid w:val="006B1E8E"/>
    <w:rsid w:val="006B2936"/>
    <w:rsid w:val="006B5355"/>
    <w:rsid w:val="006B6E3B"/>
    <w:rsid w:val="006C27DA"/>
    <w:rsid w:val="006C3C71"/>
    <w:rsid w:val="006C3CA4"/>
    <w:rsid w:val="006D11DF"/>
    <w:rsid w:val="006D6FA8"/>
    <w:rsid w:val="006E0149"/>
    <w:rsid w:val="006E252D"/>
    <w:rsid w:val="006E2D70"/>
    <w:rsid w:val="006E2E65"/>
    <w:rsid w:val="006F44C4"/>
    <w:rsid w:val="006F5C8D"/>
    <w:rsid w:val="006F6553"/>
    <w:rsid w:val="00700464"/>
    <w:rsid w:val="00702F61"/>
    <w:rsid w:val="007030B9"/>
    <w:rsid w:val="00703EF3"/>
    <w:rsid w:val="007078CE"/>
    <w:rsid w:val="00707FFA"/>
    <w:rsid w:val="00717F30"/>
    <w:rsid w:val="007266CF"/>
    <w:rsid w:val="00727D8A"/>
    <w:rsid w:val="007301C9"/>
    <w:rsid w:val="00734959"/>
    <w:rsid w:val="00742452"/>
    <w:rsid w:val="00745C55"/>
    <w:rsid w:val="00745FEA"/>
    <w:rsid w:val="007476BE"/>
    <w:rsid w:val="007504BB"/>
    <w:rsid w:val="007558A6"/>
    <w:rsid w:val="00755CF5"/>
    <w:rsid w:val="00755EF2"/>
    <w:rsid w:val="0076100D"/>
    <w:rsid w:val="00761728"/>
    <w:rsid w:val="007624A1"/>
    <w:rsid w:val="007701E2"/>
    <w:rsid w:val="00771052"/>
    <w:rsid w:val="00774A29"/>
    <w:rsid w:val="0078218B"/>
    <w:rsid w:val="00782B78"/>
    <w:rsid w:val="00785725"/>
    <w:rsid w:val="0079455A"/>
    <w:rsid w:val="007B0C19"/>
    <w:rsid w:val="007B0E1A"/>
    <w:rsid w:val="007B16D8"/>
    <w:rsid w:val="007B1BCF"/>
    <w:rsid w:val="007B413D"/>
    <w:rsid w:val="007C1C9F"/>
    <w:rsid w:val="007C3045"/>
    <w:rsid w:val="007C6444"/>
    <w:rsid w:val="007C6E25"/>
    <w:rsid w:val="007D5286"/>
    <w:rsid w:val="007D536E"/>
    <w:rsid w:val="007D6132"/>
    <w:rsid w:val="007D7A51"/>
    <w:rsid w:val="007E2870"/>
    <w:rsid w:val="007E559C"/>
    <w:rsid w:val="007F43E2"/>
    <w:rsid w:val="007F71FB"/>
    <w:rsid w:val="00801821"/>
    <w:rsid w:val="00806AD2"/>
    <w:rsid w:val="008134CC"/>
    <w:rsid w:val="00815CC0"/>
    <w:rsid w:val="00816442"/>
    <w:rsid w:val="00830E8D"/>
    <w:rsid w:val="00831B68"/>
    <w:rsid w:val="00832728"/>
    <w:rsid w:val="00832D75"/>
    <w:rsid w:val="00832F7C"/>
    <w:rsid w:val="00835CD5"/>
    <w:rsid w:val="00835CE3"/>
    <w:rsid w:val="008432FE"/>
    <w:rsid w:val="008436DE"/>
    <w:rsid w:val="008510F2"/>
    <w:rsid w:val="008624E1"/>
    <w:rsid w:val="0086552F"/>
    <w:rsid w:val="0086658B"/>
    <w:rsid w:val="008718D2"/>
    <w:rsid w:val="008738E5"/>
    <w:rsid w:val="0087614E"/>
    <w:rsid w:val="008863D1"/>
    <w:rsid w:val="00887354"/>
    <w:rsid w:val="00890F50"/>
    <w:rsid w:val="00892C95"/>
    <w:rsid w:val="00894484"/>
    <w:rsid w:val="0089520B"/>
    <w:rsid w:val="008954A2"/>
    <w:rsid w:val="0089556D"/>
    <w:rsid w:val="0089571C"/>
    <w:rsid w:val="008A12D8"/>
    <w:rsid w:val="008A5D42"/>
    <w:rsid w:val="008A6473"/>
    <w:rsid w:val="008B20FF"/>
    <w:rsid w:val="008B3932"/>
    <w:rsid w:val="008B65D8"/>
    <w:rsid w:val="008C4DDD"/>
    <w:rsid w:val="008C4E7E"/>
    <w:rsid w:val="008D1DCD"/>
    <w:rsid w:val="008E73E7"/>
    <w:rsid w:val="008F6B79"/>
    <w:rsid w:val="008F78CF"/>
    <w:rsid w:val="009111B4"/>
    <w:rsid w:val="0091138F"/>
    <w:rsid w:val="009113ED"/>
    <w:rsid w:val="009136D6"/>
    <w:rsid w:val="009142F3"/>
    <w:rsid w:val="00917839"/>
    <w:rsid w:val="00922E65"/>
    <w:rsid w:val="00926017"/>
    <w:rsid w:val="00926E18"/>
    <w:rsid w:val="00930259"/>
    <w:rsid w:val="00931E8D"/>
    <w:rsid w:val="00932B30"/>
    <w:rsid w:val="00934A3C"/>
    <w:rsid w:val="00936FD2"/>
    <w:rsid w:val="00940990"/>
    <w:rsid w:val="009461B3"/>
    <w:rsid w:val="00947D04"/>
    <w:rsid w:val="00951107"/>
    <w:rsid w:val="0095199D"/>
    <w:rsid w:val="00951C16"/>
    <w:rsid w:val="009704B9"/>
    <w:rsid w:val="00974FEF"/>
    <w:rsid w:val="00981C32"/>
    <w:rsid w:val="00983074"/>
    <w:rsid w:val="00983E71"/>
    <w:rsid w:val="00995369"/>
    <w:rsid w:val="00996660"/>
    <w:rsid w:val="009968A8"/>
    <w:rsid w:val="0099795B"/>
    <w:rsid w:val="00997B4E"/>
    <w:rsid w:val="009A28FD"/>
    <w:rsid w:val="009A6691"/>
    <w:rsid w:val="009B220D"/>
    <w:rsid w:val="009B3F1A"/>
    <w:rsid w:val="009B4704"/>
    <w:rsid w:val="009B4FCC"/>
    <w:rsid w:val="009B6AE1"/>
    <w:rsid w:val="009C1333"/>
    <w:rsid w:val="009C52AF"/>
    <w:rsid w:val="009C52EE"/>
    <w:rsid w:val="009C61B6"/>
    <w:rsid w:val="009C79C0"/>
    <w:rsid w:val="009D2FB4"/>
    <w:rsid w:val="009D5B45"/>
    <w:rsid w:val="009D630F"/>
    <w:rsid w:val="009E0545"/>
    <w:rsid w:val="009E29D7"/>
    <w:rsid w:val="009F31E5"/>
    <w:rsid w:val="009F32EA"/>
    <w:rsid w:val="009F40DF"/>
    <w:rsid w:val="00A00152"/>
    <w:rsid w:val="00A0045E"/>
    <w:rsid w:val="00A04265"/>
    <w:rsid w:val="00A05525"/>
    <w:rsid w:val="00A1593A"/>
    <w:rsid w:val="00A16043"/>
    <w:rsid w:val="00A20645"/>
    <w:rsid w:val="00A20F30"/>
    <w:rsid w:val="00A22F69"/>
    <w:rsid w:val="00A253C4"/>
    <w:rsid w:val="00A26AB8"/>
    <w:rsid w:val="00A27BAB"/>
    <w:rsid w:val="00A32027"/>
    <w:rsid w:val="00A40195"/>
    <w:rsid w:val="00A45AE6"/>
    <w:rsid w:val="00A60CDB"/>
    <w:rsid w:val="00A65703"/>
    <w:rsid w:val="00A70105"/>
    <w:rsid w:val="00A72096"/>
    <w:rsid w:val="00A732E1"/>
    <w:rsid w:val="00A75CD0"/>
    <w:rsid w:val="00A827EF"/>
    <w:rsid w:val="00A833E9"/>
    <w:rsid w:val="00A9013A"/>
    <w:rsid w:val="00A90265"/>
    <w:rsid w:val="00A90641"/>
    <w:rsid w:val="00AA06DD"/>
    <w:rsid w:val="00AB0445"/>
    <w:rsid w:val="00AB162A"/>
    <w:rsid w:val="00AB5B06"/>
    <w:rsid w:val="00AB5C3D"/>
    <w:rsid w:val="00AB6FDE"/>
    <w:rsid w:val="00AB756F"/>
    <w:rsid w:val="00AC17D2"/>
    <w:rsid w:val="00AC1EF8"/>
    <w:rsid w:val="00AD4A99"/>
    <w:rsid w:val="00AE1665"/>
    <w:rsid w:val="00AE3768"/>
    <w:rsid w:val="00AF785D"/>
    <w:rsid w:val="00B00825"/>
    <w:rsid w:val="00B035ED"/>
    <w:rsid w:val="00B06935"/>
    <w:rsid w:val="00B1074E"/>
    <w:rsid w:val="00B11269"/>
    <w:rsid w:val="00B11AC1"/>
    <w:rsid w:val="00B12221"/>
    <w:rsid w:val="00B1343D"/>
    <w:rsid w:val="00B2063F"/>
    <w:rsid w:val="00B236EA"/>
    <w:rsid w:val="00B33E03"/>
    <w:rsid w:val="00B34DAA"/>
    <w:rsid w:val="00B377F7"/>
    <w:rsid w:val="00B400E4"/>
    <w:rsid w:val="00B47BB4"/>
    <w:rsid w:val="00B47BCB"/>
    <w:rsid w:val="00B501E5"/>
    <w:rsid w:val="00B527FA"/>
    <w:rsid w:val="00B54C02"/>
    <w:rsid w:val="00B56E97"/>
    <w:rsid w:val="00B57328"/>
    <w:rsid w:val="00B6208C"/>
    <w:rsid w:val="00B70D3A"/>
    <w:rsid w:val="00B71EAB"/>
    <w:rsid w:val="00B72F24"/>
    <w:rsid w:val="00B76596"/>
    <w:rsid w:val="00B80F8E"/>
    <w:rsid w:val="00B81F63"/>
    <w:rsid w:val="00B85A81"/>
    <w:rsid w:val="00B90640"/>
    <w:rsid w:val="00B90A57"/>
    <w:rsid w:val="00B97719"/>
    <w:rsid w:val="00BA0D2D"/>
    <w:rsid w:val="00BA2BE8"/>
    <w:rsid w:val="00BA3986"/>
    <w:rsid w:val="00BA609D"/>
    <w:rsid w:val="00BA63E2"/>
    <w:rsid w:val="00BB1239"/>
    <w:rsid w:val="00BB1770"/>
    <w:rsid w:val="00BB70A3"/>
    <w:rsid w:val="00BC0AFF"/>
    <w:rsid w:val="00BC2BA1"/>
    <w:rsid w:val="00BC75B2"/>
    <w:rsid w:val="00BC7D73"/>
    <w:rsid w:val="00BD0E2D"/>
    <w:rsid w:val="00BD54C3"/>
    <w:rsid w:val="00BF0CAE"/>
    <w:rsid w:val="00BF1DF6"/>
    <w:rsid w:val="00BF3CD5"/>
    <w:rsid w:val="00BF76AD"/>
    <w:rsid w:val="00C03BC2"/>
    <w:rsid w:val="00C0527F"/>
    <w:rsid w:val="00C05821"/>
    <w:rsid w:val="00C068D2"/>
    <w:rsid w:val="00C06B7F"/>
    <w:rsid w:val="00C072FC"/>
    <w:rsid w:val="00C12753"/>
    <w:rsid w:val="00C21A9E"/>
    <w:rsid w:val="00C25DCF"/>
    <w:rsid w:val="00C2735C"/>
    <w:rsid w:val="00C3014D"/>
    <w:rsid w:val="00C349D4"/>
    <w:rsid w:val="00C37A5D"/>
    <w:rsid w:val="00C4171C"/>
    <w:rsid w:val="00C42E4D"/>
    <w:rsid w:val="00C44BF6"/>
    <w:rsid w:val="00C47A1D"/>
    <w:rsid w:val="00C50ADF"/>
    <w:rsid w:val="00C50E51"/>
    <w:rsid w:val="00C53977"/>
    <w:rsid w:val="00C564DB"/>
    <w:rsid w:val="00C62C31"/>
    <w:rsid w:val="00C6471F"/>
    <w:rsid w:val="00C73768"/>
    <w:rsid w:val="00C76B1B"/>
    <w:rsid w:val="00C77494"/>
    <w:rsid w:val="00C828D5"/>
    <w:rsid w:val="00C878B6"/>
    <w:rsid w:val="00C9099E"/>
    <w:rsid w:val="00C97354"/>
    <w:rsid w:val="00CA0F77"/>
    <w:rsid w:val="00CA4266"/>
    <w:rsid w:val="00CA5EA2"/>
    <w:rsid w:val="00CB110F"/>
    <w:rsid w:val="00CB2FF2"/>
    <w:rsid w:val="00CB327C"/>
    <w:rsid w:val="00CB5267"/>
    <w:rsid w:val="00CB5B9C"/>
    <w:rsid w:val="00CC2867"/>
    <w:rsid w:val="00CC3409"/>
    <w:rsid w:val="00CC54B3"/>
    <w:rsid w:val="00CC7C0E"/>
    <w:rsid w:val="00CD145A"/>
    <w:rsid w:val="00CD22AB"/>
    <w:rsid w:val="00CD50F4"/>
    <w:rsid w:val="00CD51B9"/>
    <w:rsid w:val="00CD5F01"/>
    <w:rsid w:val="00CD7F74"/>
    <w:rsid w:val="00CE13F0"/>
    <w:rsid w:val="00CE7962"/>
    <w:rsid w:val="00CF2F0C"/>
    <w:rsid w:val="00CF60C3"/>
    <w:rsid w:val="00D0069C"/>
    <w:rsid w:val="00D006BE"/>
    <w:rsid w:val="00D03BFD"/>
    <w:rsid w:val="00D03CB2"/>
    <w:rsid w:val="00D05B8C"/>
    <w:rsid w:val="00D07433"/>
    <w:rsid w:val="00D111A0"/>
    <w:rsid w:val="00D15540"/>
    <w:rsid w:val="00D17673"/>
    <w:rsid w:val="00D22097"/>
    <w:rsid w:val="00D23109"/>
    <w:rsid w:val="00D24283"/>
    <w:rsid w:val="00D268F7"/>
    <w:rsid w:val="00D26F16"/>
    <w:rsid w:val="00D27D0D"/>
    <w:rsid w:val="00D4006F"/>
    <w:rsid w:val="00D41E3B"/>
    <w:rsid w:val="00D43992"/>
    <w:rsid w:val="00D4448A"/>
    <w:rsid w:val="00D504F5"/>
    <w:rsid w:val="00D50F13"/>
    <w:rsid w:val="00D526DF"/>
    <w:rsid w:val="00D55DC0"/>
    <w:rsid w:val="00D62ECF"/>
    <w:rsid w:val="00D63051"/>
    <w:rsid w:val="00D63713"/>
    <w:rsid w:val="00D63765"/>
    <w:rsid w:val="00D63F63"/>
    <w:rsid w:val="00D6489F"/>
    <w:rsid w:val="00D67415"/>
    <w:rsid w:val="00D73D38"/>
    <w:rsid w:val="00D76241"/>
    <w:rsid w:val="00D76671"/>
    <w:rsid w:val="00D832DD"/>
    <w:rsid w:val="00D85423"/>
    <w:rsid w:val="00D92C7B"/>
    <w:rsid w:val="00DA1F13"/>
    <w:rsid w:val="00DA3CF6"/>
    <w:rsid w:val="00DA44EA"/>
    <w:rsid w:val="00DC35F5"/>
    <w:rsid w:val="00DC4F57"/>
    <w:rsid w:val="00DD2AF9"/>
    <w:rsid w:val="00DD3AF9"/>
    <w:rsid w:val="00DD3EBA"/>
    <w:rsid w:val="00DD51AD"/>
    <w:rsid w:val="00DD52D4"/>
    <w:rsid w:val="00DD55CA"/>
    <w:rsid w:val="00DD601E"/>
    <w:rsid w:val="00DD7A8F"/>
    <w:rsid w:val="00DE0267"/>
    <w:rsid w:val="00DE624B"/>
    <w:rsid w:val="00DF0912"/>
    <w:rsid w:val="00DF2BB6"/>
    <w:rsid w:val="00DF450E"/>
    <w:rsid w:val="00E02F2E"/>
    <w:rsid w:val="00E03B29"/>
    <w:rsid w:val="00E03B41"/>
    <w:rsid w:val="00E0666D"/>
    <w:rsid w:val="00E06F40"/>
    <w:rsid w:val="00E06FC6"/>
    <w:rsid w:val="00E072C0"/>
    <w:rsid w:val="00E1040D"/>
    <w:rsid w:val="00E24CB4"/>
    <w:rsid w:val="00E2545A"/>
    <w:rsid w:val="00E25A03"/>
    <w:rsid w:val="00E342AB"/>
    <w:rsid w:val="00E35DA1"/>
    <w:rsid w:val="00E40E55"/>
    <w:rsid w:val="00E423F7"/>
    <w:rsid w:val="00E42B61"/>
    <w:rsid w:val="00E44A63"/>
    <w:rsid w:val="00E504F1"/>
    <w:rsid w:val="00E5155E"/>
    <w:rsid w:val="00E54167"/>
    <w:rsid w:val="00E60C41"/>
    <w:rsid w:val="00E62107"/>
    <w:rsid w:val="00E706B7"/>
    <w:rsid w:val="00E70B2B"/>
    <w:rsid w:val="00E70B57"/>
    <w:rsid w:val="00E71094"/>
    <w:rsid w:val="00E72866"/>
    <w:rsid w:val="00E73E31"/>
    <w:rsid w:val="00E73EC9"/>
    <w:rsid w:val="00E76DE3"/>
    <w:rsid w:val="00E80124"/>
    <w:rsid w:val="00E82444"/>
    <w:rsid w:val="00E85035"/>
    <w:rsid w:val="00E8512C"/>
    <w:rsid w:val="00E860E0"/>
    <w:rsid w:val="00E9006D"/>
    <w:rsid w:val="00E93048"/>
    <w:rsid w:val="00EA211F"/>
    <w:rsid w:val="00EA3B4D"/>
    <w:rsid w:val="00EA652B"/>
    <w:rsid w:val="00EB25E3"/>
    <w:rsid w:val="00EB27B1"/>
    <w:rsid w:val="00EB4852"/>
    <w:rsid w:val="00EB488E"/>
    <w:rsid w:val="00EB5AE1"/>
    <w:rsid w:val="00EC0637"/>
    <w:rsid w:val="00EC1D29"/>
    <w:rsid w:val="00EC5432"/>
    <w:rsid w:val="00ED1AB8"/>
    <w:rsid w:val="00ED6C66"/>
    <w:rsid w:val="00EE022C"/>
    <w:rsid w:val="00EE2A9F"/>
    <w:rsid w:val="00EE323F"/>
    <w:rsid w:val="00EE3682"/>
    <w:rsid w:val="00EE5516"/>
    <w:rsid w:val="00EF5F7B"/>
    <w:rsid w:val="00EF6A56"/>
    <w:rsid w:val="00F00F8C"/>
    <w:rsid w:val="00F024FE"/>
    <w:rsid w:val="00F0401D"/>
    <w:rsid w:val="00F11BF0"/>
    <w:rsid w:val="00F1223F"/>
    <w:rsid w:val="00F1240B"/>
    <w:rsid w:val="00F12703"/>
    <w:rsid w:val="00F142C0"/>
    <w:rsid w:val="00F1448B"/>
    <w:rsid w:val="00F21D7D"/>
    <w:rsid w:val="00F22AFE"/>
    <w:rsid w:val="00F230DA"/>
    <w:rsid w:val="00F242DF"/>
    <w:rsid w:val="00F248F7"/>
    <w:rsid w:val="00F27BCA"/>
    <w:rsid w:val="00F31978"/>
    <w:rsid w:val="00F36308"/>
    <w:rsid w:val="00F36E1E"/>
    <w:rsid w:val="00F42954"/>
    <w:rsid w:val="00F52B61"/>
    <w:rsid w:val="00F53ED7"/>
    <w:rsid w:val="00F56025"/>
    <w:rsid w:val="00F57910"/>
    <w:rsid w:val="00F60988"/>
    <w:rsid w:val="00F61A2D"/>
    <w:rsid w:val="00F6425F"/>
    <w:rsid w:val="00F65260"/>
    <w:rsid w:val="00F65AED"/>
    <w:rsid w:val="00F67021"/>
    <w:rsid w:val="00F6738C"/>
    <w:rsid w:val="00F70D9A"/>
    <w:rsid w:val="00F72634"/>
    <w:rsid w:val="00F737FC"/>
    <w:rsid w:val="00F770A6"/>
    <w:rsid w:val="00F8018D"/>
    <w:rsid w:val="00F93E36"/>
    <w:rsid w:val="00F9469E"/>
    <w:rsid w:val="00FA1078"/>
    <w:rsid w:val="00FA5402"/>
    <w:rsid w:val="00FB1D19"/>
    <w:rsid w:val="00FB3991"/>
    <w:rsid w:val="00FB4E8A"/>
    <w:rsid w:val="00FC5965"/>
    <w:rsid w:val="00FD2722"/>
    <w:rsid w:val="00FD44E6"/>
    <w:rsid w:val="00FD5D77"/>
    <w:rsid w:val="00FE1F10"/>
    <w:rsid w:val="00FE213A"/>
    <w:rsid w:val="00FE4121"/>
    <w:rsid w:val="00FE41EE"/>
    <w:rsid w:val="00FE5B53"/>
    <w:rsid w:val="00FE5CA6"/>
    <w:rsid w:val="00FE6123"/>
    <w:rsid w:val="00FF3AA0"/>
    <w:rsid w:val="00FF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00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qFormat="1"/>
    <w:lsdException w:name="heading 4" w:qFormat="1"/>
    <w:lsdException w:name="toc 1" w:uiPriority="39" w:qFormat="1"/>
    <w:lsdException w:name="toc 2" w:uiPriority="39"/>
    <w:lsdException w:name="annotation text" w:uiPriority="99"/>
    <w:lsdException w:name="header" w:uiPriority="99"/>
    <w:lsdException w:name="footer" w:uiPriority="99"/>
    <w:lsdException w:name="List Bullet" w:uiPriority="99" w:qFormat="1"/>
    <w:lsdException w:name="Body Text" w:uiPriority="99"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B8C"/>
  </w:style>
  <w:style w:type="paragraph" w:styleId="Heading1">
    <w:name w:val="heading 1"/>
    <w:basedOn w:val="Normal"/>
    <w:next w:val="Normal"/>
    <w:link w:val="Heading1Char"/>
    <w:qFormat/>
    <w:rsid w:val="00246CF6"/>
    <w:pPr>
      <w:spacing w:before="120"/>
      <w:outlineLvl w:val="0"/>
    </w:pPr>
    <w:rPr>
      <w:rFonts w:ascii="Helvetica" w:hAnsi="Helvetica"/>
      <w:color w:val="AD761F"/>
      <w:sz w:val="36"/>
    </w:rPr>
  </w:style>
  <w:style w:type="paragraph" w:styleId="Heading2">
    <w:name w:val="heading 2"/>
    <w:basedOn w:val="Normal"/>
    <w:next w:val="Normal"/>
    <w:link w:val="Heading2Char"/>
    <w:qFormat/>
    <w:rsid w:val="00246CF6"/>
    <w:pPr>
      <w:spacing w:before="120"/>
      <w:outlineLvl w:val="1"/>
    </w:pPr>
    <w:rPr>
      <w:rFonts w:ascii="Helvetica" w:hAnsi="Helvetica"/>
      <w:color w:val="17365D" w:themeColor="text2" w:themeShade="BF"/>
      <w:sz w:val="32"/>
    </w:rPr>
  </w:style>
  <w:style w:type="paragraph" w:styleId="Heading3">
    <w:name w:val="heading 3"/>
    <w:basedOn w:val="Normal"/>
    <w:next w:val="Normal"/>
    <w:link w:val="Heading3Char"/>
    <w:uiPriority w:val="99"/>
    <w:qFormat/>
    <w:rsid w:val="00547D72"/>
    <w:pPr>
      <w:ind w:left="1080" w:hanging="1080"/>
      <w:outlineLvl w:val="2"/>
    </w:pPr>
    <w:rPr>
      <w:rFonts w:ascii="Times New Roman Bold" w:hAnsi="Times New Roman Bold"/>
      <w:b/>
      <w:color w:val="0F243E"/>
    </w:rPr>
  </w:style>
  <w:style w:type="paragraph" w:styleId="Heading4">
    <w:name w:val="heading 4"/>
    <w:basedOn w:val="Normal"/>
    <w:next w:val="Normal"/>
    <w:link w:val="Heading4Char"/>
    <w:qFormat/>
    <w:rsid w:val="009C52EE"/>
    <w:pPr>
      <w:ind w:right="-360"/>
      <w:outlineLvl w:val="3"/>
    </w:pPr>
    <w:rPr>
      <w:rFonts w:ascii="Arial" w:hAnsi="Arial"/>
      <w:b/>
      <w:color w:val="AD761F"/>
    </w:rPr>
  </w:style>
  <w:style w:type="paragraph" w:styleId="Heading5">
    <w:name w:val="heading 5"/>
    <w:basedOn w:val="Normal"/>
    <w:next w:val="Normal"/>
    <w:link w:val="Heading5Char"/>
    <w:rsid w:val="003928A0"/>
    <w:pPr>
      <w:keepNext/>
      <w:keepLines/>
      <w:spacing w:after="120"/>
      <w:ind w:left="990" w:hanging="990"/>
      <w:outlineLvl w:val="4"/>
    </w:pPr>
    <w:rPr>
      <w:b/>
      <w:color w:val="0F243E"/>
    </w:rPr>
  </w:style>
  <w:style w:type="paragraph" w:styleId="Heading6">
    <w:name w:val="heading 6"/>
    <w:basedOn w:val="Normal"/>
    <w:next w:val="Normal"/>
    <w:link w:val="Heading6Char"/>
    <w:rsid w:val="006A3895"/>
    <w:pPr>
      <w:keepNext/>
      <w:keepLines/>
      <w:spacing w:before="200"/>
      <w:outlineLvl w:val="5"/>
    </w:pPr>
    <w:rPr>
      <w:rFonts w:ascii="Cambria" w:hAnsi="Cambria"/>
      <w:i/>
      <w:iCs/>
      <w:color w:val="243F60"/>
    </w:rPr>
  </w:style>
  <w:style w:type="paragraph" w:styleId="Heading7">
    <w:name w:val="heading 7"/>
    <w:basedOn w:val="Normal"/>
    <w:next w:val="Normal"/>
    <w:link w:val="Heading7Char"/>
    <w:rsid w:val="006A3895"/>
    <w:pPr>
      <w:keepNext/>
      <w:keepLines/>
      <w:spacing w:before="200"/>
      <w:outlineLvl w:val="6"/>
    </w:pPr>
    <w:rPr>
      <w:rFonts w:ascii="Cambria" w:hAnsi="Cambria"/>
      <w:i/>
      <w:iCs/>
      <w:color w:val="404040"/>
    </w:rPr>
  </w:style>
  <w:style w:type="paragraph" w:styleId="Heading8">
    <w:name w:val="heading 8"/>
    <w:basedOn w:val="Normal"/>
    <w:next w:val="Normal"/>
    <w:link w:val="Heading8Char"/>
    <w:rsid w:val="006A389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rsid w:val="006A389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6CF6"/>
    <w:rPr>
      <w:rFonts w:ascii="Helvetica" w:hAnsi="Helvetica"/>
      <w:color w:val="AD761F"/>
      <w:sz w:val="36"/>
    </w:rPr>
  </w:style>
  <w:style w:type="character" w:customStyle="1" w:styleId="Heading2Char">
    <w:name w:val="Heading 2 Char"/>
    <w:link w:val="Heading2"/>
    <w:rsid w:val="00246CF6"/>
    <w:rPr>
      <w:rFonts w:ascii="Helvetica" w:hAnsi="Helvetica"/>
      <w:color w:val="17365D" w:themeColor="text2" w:themeShade="BF"/>
      <w:sz w:val="32"/>
    </w:rPr>
  </w:style>
  <w:style w:type="character" w:customStyle="1" w:styleId="Heading3Char">
    <w:name w:val="Heading 3 Char"/>
    <w:link w:val="Heading3"/>
    <w:uiPriority w:val="99"/>
    <w:rsid w:val="00547D72"/>
    <w:rPr>
      <w:rFonts w:ascii="Times New Roman Bold" w:hAnsi="Times New Roman Bold"/>
      <w:b/>
      <w:color w:val="0F243E"/>
      <w:sz w:val="24"/>
      <w:szCs w:val="24"/>
    </w:rPr>
  </w:style>
  <w:style w:type="character" w:customStyle="1" w:styleId="Heading4Char">
    <w:name w:val="Heading 4 Char"/>
    <w:link w:val="Heading4"/>
    <w:rsid w:val="009C52EE"/>
    <w:rPr>
      <w:rFonts w:ascii="Arial" w:hAnsi="Arial"/>
      <w:b/>
      <w:color w:val="AD761F"/>
    </w:rPr>
  </w:style>
  <w:style w:type="character" w:customStyle="1" w:styleId="Heading5Char">
    <w:name w:val="Heading 5 Char"/>
    <w:link w:val="Heading5"/>
    <w:rsid w:val="003928A0"/>
    <w:rPr>
      <w:b/>
      <w:color w:val="0F243E"/>
      <w:sz w:val="24"/>
      <w:szCs w:val="24"/>
    </w:rPr>
  </w:style>
  <w:style w:type="character" w:customStyle="1" w:styleId="Heading6Char">
    <w:name w:val="Heading 6 Char"/>
    <w:link w:val="Heading6"/>
    <w:semiHidden/>
    <w:rsid w:val="006A3895"/>
    <w:rPr>
      <w:rFonts w:ascii="Cambria" w:eastAsia="Times New Roman" w:hAnsi="Cambria" w:cs="Times New Roman"/>
      <w:i/>
      <w:iCs/>
      <w:color w:val="243F60"/>
      <w:sz w:val="24"/>
      <w:szCs w:val="24"/>
    </w:rPr>
  </w:style>
  <w:style w:type="character" w:customStyle="1" w:styleId="Heading7Char">
    <w:name w:val="Heading 7 Char"/>
    <w:link w:val="Heading7"/>
    <w:semiHidden/>
    <w:rsid w:val="006A3895"/>
    <w:rPr>
      <w:rFonts w:ascii="Cambria" w:eastAsia="Times New Roman" w:hAnsi="Cambria" w:cs="Times New Roman"/>
      <w:i/>
      <w:iCs/>
      <w:color w:val="404040"/>
      <w:sz w:val="24"/>
      <w:szCs w:val="24"/>
    </w:rPr>
  </w:style>
  <w:style w:type="character" w:customStyle="1" w:styleId="Heading8Char">
    <w:name w:val="Heading 8 Char"/>
    <w:link w:val="Heading8"/>
    <w:semiHidden/>
    <w:rsid w:val="006A3895"/>
    <w:rPr>
      <w:rFonts w:ascii="Cambria" w:eastAsia="Times New Roman" w:hAnsi="Cambria" w:cs="Times New Roman"/>
      <w:color w:val="404040"/>
    </w:rPr>
  </w:style>
  <w:style w:type="character" w:customStyle="1" w:styleId="Heading9Char">
    <w:name w:val="Heading 9 Char"/>
    <w:link w:val="Heading9"/>
    <w:semiHidden/>
    <w:rsid w:val="006A3895"/>
    <w:rPr>
      <w:rFonts w:ascii="Cambria" w:eastAsia="Times New Roman" w:hAnsi="Cambria" w:cs="Times New Roman"/>
      <w:i/>
      <w:iCs/>
      <w:color w:val="404040"/>
    </w:rPr>
  </w:style>
  <w:style w:type="paragraph" w:styleId="Caption">
    <w:name w:val="caption"/>
    <w:basedOn w:val="Normal"/>
    <w:next w:val="Normal"/>
    <w:link w:val="CaptionChar"/>
    <w:qFormat/>
    <w:rsid w:val="00A90265"/>
    <w:pPr>
      <w:ind w:right="1980"/>
    </w:pPr>
    <w:rPr>
      <w:rFonts w:ascii="Arial" w:hAnsi="Arial"/>
      <w:color w:val="0D0D0D" w:themeColor="text1" w:themeTint="F2"/>
      <w:sz w:val="20"/>
    </w:rPr>
  </w:style>
  <w:style w:type="character" w:customStyle="1" w:styleId="CaptionChar">
    <w:name w:val="Caption Char"/>
    <w:link w:val="Caption"/>
    <w:rsid w:val="00A90265"/>
    <w:rPr>
      <w:rFonts w:ascii="Arial" w:hAnsi="Arial"/>
      <w:color w:val="0D0D0D" w:themeColor="text1" w:themeTint="F2"/>
      <w:sz w:val="20"/>
    </w:rPr>
  </w:style>
  <w:style w:type="paragraph" w:styleId="Title">
    <w:name w:val="Title"/>
    <w:basedOn w:val="Normal"/>
    <w:next w:val="Normal"/>
    <w:link w:val="TitleChar"/>
    <w:qFormat/>
    <w:rsid w:val="00865D8D"/>
    <w:pPr>
      <w:spacing w:after="120"/>
      <w:jc w:val="center"/>
    </w:pPr>
    <w:rPr>
      <w:b/>
      <w:color w:val="0F243E"/>
      <w:spacing w:val="5"/>
      <w:kern w:val="28"/>
    </w:rPr>
  </w:style>
  <w:style w:type="character" w:customStyle="1" w:styleId="TitleChar">
    <w:name w:val="Title Char"/>
    <w:link w:val="Title"/>
    <w:rsid w:val="00865D8D"/>
    <w:rPr>
      <w:b/>
      <w:color w:val="0F243E"/>
      <w:spacing w:val="5"/>
      <w:kern w:val="28"/>
      <w:sz w:val="24"/>
      <w:szCs w:val="24"/>
    </w:rPr>
  </w:style>
  <w:style w:type="character" w:styleId="Strong">
    <w:name w:val="Strong"/>
    <w:qFormat/>
    <w:rsid w:val="006A3895"/>
    <w:rPr>
      <w:b/>
      <w:bCs/>
    </w:rPr>
  </w:style>
  <w:style w:type="character" w:styleId="Emphasis">
    <w:name w:val="Emphasis"/>
    <w:qFormat/>
    <w:rsid w:val="006A3895"/>
    <w:rPr>
      <w:i/>
      <w:iCs/>
    </w:rPr>
  </w:style>
  <w:style w:type="paragraph" w:customStyle="1" w:styleId="NoSpacing1">
    <w:name w:val="No Spacing1"/>
    <w:basedOn w:val="Normal"/>
    <w:uiPriority w:val="1"/>
    <w:qFormat/>
    <w:rsid w:val="006A3895"/>
  </w:style>
  <w:style w:type="paragraph" w:customStyle="1" w:styleId="ColorfulList-Accent11">
    <w:name w:val="Colorful List - Accent 11"/>
    <w:basedOn w:val="Normal"/>
    <w:link w:val="ColorfulList-Accent1Char"/>
    <w:uiPriority w:val="34"/>
    <w:qFormat/>
    <w:rsid w:val="006A3895"/>
    <w:pPr>
      <w:ind w:left="720"/>
      <w:contextualSpacing/>
    </w:pPr>
  </w:style>
  <w:style w:type="paragraph" w:styleId="PlainText">
    <w:name w:val="Plain Text"/>
    <w:basedOn w:val="Normal"/>
    <w:link w:val="PlainTextChar"/>
    <w:uiPriority w:val="99"/>
    <w:unhideWhenUsed/>
    <w:rsid w:val="00BB032E"/>
    <w:rPr>
      <w:rFonts w:ascii="Consolas" w:eastAsia="Calibri" w:hAnsi="Consolas"/>
      <w:sz w:val="21"/>
      <w:szCs w:val="21"/>
    </w:rPr>
  </w:style>
  <w:style w:type="character" w:customStyle="1" w:styleId="PlainTextChar">
    <w:name w:val="Plain Text Char"/>
    <w:link w:val="PlainText"/>
    <w:uiPriority w:val="99"/>
    <w:rsid w:val="00BB032E"/>
    <w:rPr>
      <w:rFonts w:ascii="Consolas" w:eastAsia="Calibri" w:hAnsi="Consolas" w:cs="Times New Roman"/>
      <w:sz w:val="21"/>
      <w:szCs w:val="21"/>
    </w:rPr>
  </w:style>
  <w:style w:type="character" w:customStyle="1" w:styleId="ColorfulList-Accent1Char">
    <w:name w:val="Colorful List - Accent 1 Char"/>
    <w:link w:val="ColorfulList-Accent11"/>
    <w:uiPriority w:val="34"/>
    <w:locked/>
    <w:rsid w:val="00530DEC"/>
    <w:rPr>
      <w:sz w:val="24"/>
      <w:szCs w:val="24"/>
    </w:rPr>
  </w:style>
  <w:style w:type="paragraph" w:customStyle="1" w:styleId="TOCHeading1">
    <w:name w:val="TOC Heading1"/>
    <w:basedOn w:val="Heading1"/>
    <w:next w:val="Normal"/>
    <w:uiPriority w:val="39"/>
    <w:semiHidden/>
    <w:unhideWhenUsed/>
    <w:qFormat/>
    <w:rsid w:val="006A3895"/>
    <w:pPr>
      <w:outlineLvl w:val="9"/>
    </w:pPr>
  </w:style>
  <w:style w:type="paragraph" w:styleId="BodyText">
    <w:name w:val="Body Text"/>
    <w:link w:val="BodyTextChar"/>
    <w:uiPriority w:val="99"/>
    <w:qFormat/>
    <w:rsid w:val="00575078"/>
    <w:pPr>
      <w:spacing w:after="120"/>
    </w:pPr>
  </w:style>
  <w:style w:type="character" w:customStyle="1" w:styleId="BodyTextChar">
    <w:name w:val="Body Text Char"/>
    <w:link w:val="BodyText"/>
    <w:uiPriority w:val="99"/>
    <w:rsid w:val="00575078"/>
    <w:rPr>
      <w:sz w:val="24"/>
      <w:szCs w:val="24"/>
      <w:lang w:val="en-US" w:eastAsia="en-US" w:bidi="ar-SA"/>
    </w:rPr>
  </w:style>
  <w:style w:type="paragraph" w:styleId="ListBullet">
    <w:name w:val="List Bullet"/>
    <w:aliases w:val="b1"/>
    <w:uiPriority w:val="99"/>
    <w:qFormat/>
    <w:rsid w:val="00546E74"/>
    <w:pPr>
      <w:numPr>
        <w:numId w:val="1"/>
      </w:numPr>
      <w:spacing w:after="60"/>
      <w:ind w:left="274" w:hanging="274"/>
    </w:pPr>
  </w:style>
  <w:style w:type="paragraph" w:styleId="ListBullet2">
    <w:name w:val="List Bullet 2"/>
    <w:rsid w:val="00330126"/>
    <w:pPr>
      <w:numPr>
        <w:numId w:val="2"/>
      </w:numPr>
      <w:ind w:left="936" w:hanging="216"/>
    </w:pPr>
  </w:style>
  <w:style w:type="paragraph" w:customStyle="1" w:styleId="ListBulletLast">
    <w:name w:val="List Bullet Last"/>
    <w:basedOn w:val="ListBullet"/>
    <w:link w:val="ListBulletLastChar"/>
    <w:rsid w:val="00E80124"/>
    <w:pPr>
      <w:spacing w:after="120"/>
    </w:pPr>
  </w:style>
  <w:style w:type="paragraph" w:customStyle="1" w:styleId="ListBullet2Last">
    <w:name w:val="List Bullet 2 Last"/>
    <w:basedOn w:val="ListBullet2"/>
    <w:rsid w:val="00A578D1"/>
    <w:pPr>
      <w:spacing w:after="120"/>
    </w:pPr>
  </w:style>
  <w:style w:type="paragraph" w:customStyle="1" w:styleId="Theme">
    <w:name w:val="Theme"/>
    <w:aliases w:val="the"/>
    <w:next w:val="BodyText"/>
    <w:rsid w:val="00F53ED7"/>
    <w:pPr>
      <w:keepLines/>
      <w:suppressAutoHyphens/>
      <w:spacing w:before="60" w:after="120"/>
      <w:jc w:val="both"/>
    </w:pPr>
    <w:rPr>
      <w:rFonts w:ascii="Times New Roman Bold" w:hAnsi="Times New Roman Bold"/>
      <w:b/>
      <w:i/>
      <w:color w:val="366082"/>
      <w:sz w:val="22"/>
    </w:rPr>
  </w:style>
  <w:style w:type="paragraph" w:styleId="ListBullet3">
    <w:name w:val="List Bullet 3"/>
    <w:rsid w:val="00DE7E04"/>
    <w:pPr>
      <w:numPr>
        <w:numId w:val="6"/>
      </w:numPr>
      <w:ind w:left="648" w:hanging="216"/>
    </w:pPr>
    <w:rPr>
      <w:sz w:val="22"/>
    </w:rPr>
  </w:style>
  <w:style w:type="paragraph" w:customStyle="1" w:styleId="ListBullet3Last">
    <w:name w:val="List Bullet 3 Last"/>
    <w:basedOn w:val="ListBullet3"/>
    <w:rsid w:val="008021F6"/>
    <w:pPr>
      <w:spacing w:after="120"/>
    </w:pPr>
  </w:style>
  <w:style w:type="paragraph" w:customStyle="1" w:styleId="TableText">
    <w:name w:val="Table Text"/>
    <w:basedOn w:val="BodyText"/>
    <w:link w:val="TableTextChar"/>
    <w:qFormat/>
    <w:rsid w:val="00575078"/>
    <w:pPr>
      <w:spacing w:before="20" w:after="20"/>
    </w:pPr>
    <w:rPr>
      <w:sz w:val="20"/>
      <w:szCs w:val="18"/>
    </w:rPr>
  </w:style>
  <w:style w:type="paragraph" w:customStyle="1" w:styleId="TableBullet">
    <w:name w:val="Table Bullet"/>
    <w:basedOn w:val="TableText"/>
    <w:link w:val="TableBulletChar"/>
    <w:qFormat/>
    <w:rsid w:val="0059713C"/>
    <w:pPr>
      <w:keepNext/>
      <w:numPr>
        <w:numId w:val="3"/>
      </w:numPr>
    </w:pPr>
  </w:style>
  <w:style w:type="paragraph" w:customStyle="1" w:styleId="TableBullet2">
    <w:name w:val="Table Bullet 2"/>
    <w:basedOn w:val="TableText"/>
    <w:qFormat/>
    <w:rsid w:val="00127124"/>
    <w:pPr>
      <w:numPr>
        <w:numId w:val="4"/>
      </w:numPr>
      <w:ind w:left="288" w:hanging="144"/>
    </w:pPr>
  </w:style>
  <w:style w:type="table" w:styleId="TableGrid">
    <w:name w:val="Table Grid"/>
    <w:basedOn w:val="TableNormal"/>
    <w:uiPriority w:val="1"/>
    <w:rsid w:val="00802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asicTable">
    <w:name w:val="Basic Table"/>
    <w:basedOn w:val="TableNormal"/>
    <w:uiPriority w:val="99"/>
    <w:qFormat/>
    <w:rsid w:val="00CD1DDA"/>
    <w:tblPr>
      <w:jc w:val="center"/>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left w:w="58" w:type="dxa"/>
        <w:right w:w="58" w:type="dxa"/>
      </w:tblCellMar>
    </w:tblPr>
    <w:trPr>
      <w:jc w:val="center"/>
    </w:tr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style>
  <w:style w:type="paragraph" w:customStyle="1" w:styleId="TableHeading">
    <w:name w:val="Table Heading"/>
    <w:aliases w:val="TH"/>
    <w:basedOn w:val="Normal"/>
    <w:link w:val="TableHeadingChar"/>
    <w:qFormat/>
    <w:rsid w:val="004C2D3F"/>
    <w:pPr>
      <w:spacing w:before="80" w:after="80"/>
    </w:pPr>
    <w:rPr>
      <w:rFonts w:ascii="Arial" w:hAnsi="Arial" w:cs="Arial"/>
      <w:color w:val="FFFFFF" w:themeColor="background1"/>
    </w:rPr>
  </w:style>
  <w:style w:type="paragraph" w:customStyle="1" w:styleId="HeadNoNum2">
    <w:name w:val="HeadNoNum2"/>
    <w:basedOn w:val="Normal"/>
    <w:rsid w:val="00ED7C5A"/>
    <w:rPr>
      <w:i/>
    </w:rPr>
  </w:style>
  <w:style w:type="table" w:styleId="DarkList-Accent1">
    <w:name w:val="Dark List Accent 1"/>
    <w:basedOn w:val="TableNormal"/>
    <w:rsid w:val="00122553"/>
    <w:rPr>
      <w:color w:val="FFFFFF" w:themeColor="background1"/>
    </w:rPr>
    <w:tblPr>
      <w:tblStyleRowBandSize w:val="1"/>
      <w:tblStyleColBandSize w:val="1"/>
    </w:tblPr>
    <w:tcPr>
      <w:shd w:val="clear" w:color="auto" w:fill="145B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C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3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38C" w:themeFill="accent1" w:themeFillShade="BF"/>
      </w:tcPr>
    </w:tblStylePr>
    <w:tblStylePr w:type="band1Vert">
      <w:tblPr/>
      <w:tcPr>
        <w:tcBorders>
          <w:top w:val="nil"/>
          <w:left w:val="nil"/>
          <w:bottom w:val="nil"/>
          <w:right w:val="nil"/>
          <w:insideH w:val="nil"/>
          <w:insideV w:val="nil"/>
        </w:tcBorders>
        <w:shd w:val="clear" w:color="auto" w:fill="0F438C" w:themeFill="accent1" w:themeFillShade="BF"/>
      </w:tcPr>
    </w:tblStylePr>
    <w:tblStylePr w:type="band1Horz">
      <w:tblPr/>
      <w:tcPr>
        <w:tcBorders>
          <w:top w:val="nil"/>
          <w:left w:val="nil"/>
          <w:bottom w:val="nil"/>
          <w:right w:val="nil"/>
          <w:insideH w:val="nil"/>
          <w:insideV w:val="nil"/>
        </w:tcBorders>
        <w:shd w:val="clear" w:color="auto" w:fill="0F438C" w:themeFill="accent1" w:themeFillShade="BF"/>
      </w:tcPr>
    </w:tblStylePr>
  </w:style>
  <w:style w:type="table" w:customStyle="1" w:styleId="BasicTableShaded">
    <w:name w:val="Basic Table Shaded"/>
    <w:basedOn w:val="BasicTable"/>
    <w:uiPriority w:val="99"/>
    <w:qFormat/>
    <w:rsid w:val="00CD1DDA"/>
    <w:tblPr>
      <w:tblStyleRowBandSize w:val="1"/>
    </w:tbl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tblStylePr w:type="band1Horz">
      <w:tblPr/>
      <w:tcPr>
        <w:shd w:val="clear" w:color="auto" w:fill="DED3A6"/>
      </w:tcPr>
    </w:tblStylePr>
  </w:style>
  <w:style w:type="paragraph" w:styleId="Header">
    <w:name w:val="header"/>
    <w:basedOn w:val="Normal"/>
    <w:link w:val="HeaderChar"/>
    <w:uiPriority w:val="99"/>
    <w:rsid w:val="00F062FF"/>
    <w:pPr>
      <w:tabs>
        <w:tab w:val="center" w:pos="4680"/>
        <w:tab w:val="right" w:pos="9360"/>
      </w:tabs>
    </w:pPr>
  </w:style>
  <w:style w:type="character" w:customStyle="1" w:styleId="HeaderChar">
    <w:name w:val="Header Char"/>
    <w:link w:val="Header"/>
    <w:uiPriority w:val="99"/>
    <w:rsid w:val="00F062FF"/>
    <w:rPr>
      <w:sz w:val="24"/>
      <w:szCs w:val="24"/>
    </w:rPr>
  </w:style>
  <w:style w:type="paragraph" w:styleId="Footer">
    <w:name w:val="footer"/>
    <w:basedOn w:val="Normal"/>
    <w:link w:val="FooterChar"/>
    <w:uiPriority w:val="99"/>
    <w:rsid w:val="00F062FF"/>
    <w:pPr>
      <w:tabs>
        <w:tab w:val="center" w:pos="4680"/>
        <w:tab w:val="right" w:pos="9360"/>
      </w:tabs>
    </w:pPr>
  </w:style>
  <w:style w:type="character" w:customStyle="1" w:styleId="FooterChar">
    <w:name w:val="Footer Char"/>
    <w:link w:val="Footer"/>
    <w:uiPriority w:val="99"/>
    <w:rsid w:val="00F062FF"/>
    <w:rPr>
      <w:sz w:val="24"/>
      <w:szCs w:val="24"/>
    </w:rPr>
  </w:style>
  <w:style w:type="table" w:customStyle="1" w:styleId="TableNoHead">
    <w:name w:val="TableNoHead"/>
    <w:basedOn w:val="TableNormal"/>
    <w:uiPriority w:val="99"/>
    <w:qFormat/>
    <w:rsid w:val="00ED7C5A"/>
    <w:tblPr>
      <w:jc w:val="center"/>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left w:w="58" w:type="dxa"/>
        <w:right w:w="58" w:type="dxa"/>
      </w:tblCellMar>
    </w:tblPr>
    <w:trPr>
      <w:jc w:val="center"/>
    </w:trPr>
  </w:style>
  <w:style w:type="table" w:customStyle="1" w:styleId="TableNoHeadShaded">
    <w:name w:val="TableNoHeadShaded"/>
    <w:basedOn w:val="TableNoHead"/>
    <w:uiPriority w:val="99"/>
    <w:qFormat/>
    <w:rsid w:val="00CD1DDA"/>
    <w:tblPr>
      <w:tblStyleRowBandSize w:val="1"/>
    </w:tblPr>
    <w:tblStylePr w:type="band1Horz">
      <w:tblPr/>
      <w:tcPr>
        <w:shd w:val="clear" w:color="auto" w:fill="DED3A6"/>
      </w:tcPr>
    </w:tblStylePr>
  </w:style>
  <w:style w:type="paragraph" w:customStyle="1" w:styleId="Contents">
    <w:name w:val="Contents"/>
    <w:basedOn w:val="Normal"/>
    <w:next w:val="BodyText"/>
    <w:qFormat/>
    <w:rsid w:val="00865D8D"/>
    <w:pPr>
      <w:spacing w:after="120"/>
      <w:jc w:val="center"/>
    </w:pPr>
    <w:rPr>
      <w:rFonts w:cs="Arial"/>
      <w:b/>
      <w:color w:val="0F243E"/>
      <w:sz w:val="26"/>
      <w:szCs w:val="26"/>
    </w:rPr>
  </w:style>
  <w:style w:type="paragraph" w:styleId="TOC1">
    <w:name w:val="toc 1"/>
    <w:basedOn w:val="Normal"/>
    <w:next w:val="Normal"/>
    <w:autoRedefine/>
    <w:uiPriority w:val="39"/>
    <w:qFormat/>
    <w:rsid w:val="005C32A8"/>
    <w:pPr>
      <w:tabs>
        <w:tab w:val="left" w:pos="660"/>
        <w:tab w:val="right" w:leader="dot" w:pos="9350"/>
      </w:tabs>
      <w:spacing w:after="60"/>
      <w:ind w:left="446" w:hanging="446"/>
    </w:pPr>
    <w:rPr>
      <w:b/>
      <w:noProof/>
    </w:rPr>
  </w:style>
  <w:style w:type="paragraph" w:styleId="TOC2">
    <w:name w:val="toc 2"/>
    <w:basedOn w:val="Normal"/>
    <w:next w:val="Normal"/>
    <w:autoRedefine/>
    <w:uiPriority w:val="39"/>
    <w:qFormat/>
    <w:rsid w:val="005C32A8"/>
    <w:pPr>
      <w:tabs>
        <w:tab w:val="right" w:leader="dot" w:pos="9350"/>
      </w:tabs>
      <w:spacing w:after="60"/>
      <w:ind w:left="990" w:hanging="544"/>
    </w:pPr>
    <w:rPr>
      <w:noProof/>
    </w:rPr>
  </w:style>
  <w:style w:type="paragraph" w:styleId="TOC3">
    <w:name w:val="toc 3"/>
    <w:basedOn w:val="Normal"/>
    <w:next w:val="Normal"/>
    <w:autoRedefine/>
    <w:uiPriority w:val="39"/>
    <w:qFormat/>
    <w:rsid w:val="007624A1"/>
    <w:pPr>
      <w:tabs>
        <w:tab w:val="left" w:pos="1170"/>
        <w:tab w:val="left" w:pos="1540"/>
        <w:tab w:val="right" w:leader="dot" w:pos="9350"/>
      </w:tabs>
      <w:suppressAutoHyphens/>
      <w:spacing w:after="200"/>
      <w:ind w:left="720"/>
      <w:contextualSpacing/>
    </w:pPr>
    <w:rPr>
      <w:noProof/>
    </w:rPr>
  </w:style>
  <w:style w:type="character" w:styleId="Hyperlink">
    <w:name w:val="Hyperlink"/>
    <w:uiPriority w:val="99"/>
    <w:unhideWhenUsed/>
    <w:rsid w:val="00ED031D"/>
    <w:rPr>
      <w:color w:val="0000FF"/>
      <w:u w:val="single"/>
    </w:rPr>
  </w:style>
  <w:style w:type="paragraph" w:styleId="TableofFigures">
    <w:name w:val="table of figures"/>
    <w:basedOn w:val="Normal"/>
    <w:next w:val="Normal"/>
    <w:autoRedefine/>
    <w:uiPriority w:val="99"/>
    <w:rsid w:val="00CC2AFB"/>
    <w:pPr>
      <w:tabs>
        <w:tab w:val="right" w:leader="dot" w:pos="9350"/>
      </w:tabs>
      <w:spacing w:after="80"/>
    </w:pPr>
    <w:rPr>
      <w:rFonts w:cs="Arial"/>
      <w:noProof/>
      <w:sz w:val="22"/>
      <w:szCs w:val="22"/>
    </w:rPr>
  </w:style>
  <w:style w:type="paragraph" w:customStyle="1" w:styleId="TitlePage">
    <w:name w:val="TitlePage"/>
    <w:basedOn w:val="Normal"/>
    <w:qFormat/>
    <w:rsid w:val="00ED031D"/>
    <w:pPr>
      <w:jc w:val="center"/>
    </w:pPr>
    <w:rPr>
      <w:rFonts w:ascii="Arial" w:hAnsi="Arial" w:cs="Arial"/>
      <w:sz w:val="22"/>
    </w:rPr>
  </w:style>
  <w:style w:type="paragraph" w:styleId="BalloonText">
    <w:name w:val="Balloon Text"/>
    <w:basedOn w:val="Normal"/>
    <w:link w:val="BalloonTextChar"/>
    <w:rsid w:val="002C0631"/>
    <w:rPr>
      <w:rFonts w:ascii="Tahoma" w:hAnsi="Tahoma"/>
      <w:sz w:val="16"/>
      <w:szCs w:val="16"/>
    </w:rPr>
  </w:style>
  <w:style w:type="character" w:customStyle="1" w:styleId="BalloonTextChar">
    <w:name w:val="Balloon Text Char"/>
    <w:link w:val="BalloonText"/>
    <w:rsid w:val="002C0631"/>
    <w:rPr>
      <w:rFonts w:ascii="Tahoma" w:hAnsi="Tahoma" w:cs="Tahoma"/>
      <w:sz w:val="16"/>
      <w:szCs w:val="16"/>
    </w:rPr>
  </w:style>
  <w:style w:type="paragraph" w:customStyle="1" w:styleId="ResumeName">
    <w:name w:val="Resume Name"/>
    <w:basedOn w:val="BodyText"/>
    <w:rsid w:val="00865D8D"/>
    <w:pPr>
      <w:pageBreakBefore/>
      <w:jc w:val="center"/>
    </w:pPr>
    <w:rPr>
      <w:rFonts w:cs="Arial"/>
      <w:b/>
      <w:color w:val="0F243E"/>
    </w:rPr>
  </w:style>
  <w:style w:type="paragraph" w:customStyle="1" w:styleId="ResTableJob">
    <w:name w:val="ResTableJob"/>
    <w:basedOn w:val="TableText"/>
    <w:rsid w:val="000D7395"/>
    <w:pPr>
      <w:tabs>
        <w:tab w:val="right" w:pos="9244"/>
      </w:tabs>
    </w:pPr>
    <w:rPr>
      <w:b/>
      <w:i/>
    </w:rPr>
  </w:style>
  <w:style w:type="paragraph" w:customStyle="1" w:styleId="TableTextLast">
    <w:name w:val="TableTextLast"/>
    <w:basedOn w:val="TableText"/>
    <w:qFormat/>
    <w:rsid w:val="00633791"/>
    <w:pPr>
      <w:spacing w:after="60"/>
    </w:pPr>
  </w:style>
  <w:style w:type="table" w:styleId="LightShading-Accent3">
    <w:name w:val="Light Shading Accent 3"/>
    <w:basedOn w:val="TableNormal"/>
    <w:rsid w:val="00122553"/>
    <w:rPr>
      <w:color w:val="567A2C" w:themeColor="accent3" w:themeShade="BF"/>
    </w:rPr>
    <w:tblPr>
      <w:tblStyleRowBandSize w:val="1"/>
      <w:tblStyleColBandSize w:val="1"/>
      <w:tblBorders>
        <w:top w:val="single" w:sz="8" w:space="0" w:color="74A43B" w:themeColor="accent3"/>
        <w:bottom w:val="single" w:sz="8" w:space="0" w:color="74A43B" w:themeColor="accent3"/>
      </w:tblBorders>
    </w:tblPr>
    <w:tblStylePr w:type="firstRow">
      <w:pPr>
        <w:spacing w:before="0" w:after="0" w:line="240" w:lineRule="auto"/>
      </w:pPr>
      <w:rPr>
        <w:b/>
        <w:bCs/>
      </w:rPr>
      <w:tblPr/>
      <w:tcPr>
        <w:tcBorders>
          <w:top w:val="single" w:sz="8" w:space="0" w:color="74A43B" w:themeColor="accent3"/>
          <w:left w:val="nil"/>
          <w:bottom w:val="single" w:sz="8" w:space="0" w:color="74A43B" w:themeColor="accent3"/>
          <w:right w:val="nil"/>
          <w:insideH w:val="nil"/>
          <w:insideV w:val="nil"/>
        </w:tcBorders>
      </w:tcPr>
    </w:tblStylePr>
    <w:tblStylePr w:type="lastRow">
      <w:pPr>
        <w:spacing w:before="0" w:after="0" w:line="240" w:lineRule="auto"/>
      </w:pPr>
      <w:rPr>
        <w:b/>
        <w:bCs/>
      </w:rPr>
      <w:tblPr/>
      <w:tcPr>
        <w:tcBorders>
          <w:top w:val="single" w:sz="8" w:space="0" w:color="74A43B" w:themeColor="accent3"/>
          <w:left w:val="nil"/>
          <w:bottom w:val="single" w:sz="8" w:space="0" w:color="74A4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CA" w:themeFill="accent3" w:themeFillTint="3F"/>
      </w:tcPr>
    </w:tblStylePr>
    <w:tblStylePr w:type="band1Horz">
      <w:tblPr/>
      <w:tcPr>
        <w:tcBorders>
          <w:left w:val="nil"/>
          <w:right w:val="nil"/>
          <w:insideH w:val="nil"/>
          <w:insideV w:val="nil"/>
        </w:tcBorders>
        <w:shd w:val="clear" w:color="auto" w:fill="DCECCA" w:themeFill="accent3" w:themeFillTint="3F"/>
      </w:tcPr>
    </w:tblStylePr>
  </w:style>
  <w:style w:type="paragraph" w:styleId="DocumentMap">
    <w:name w:val="Document Map"/>
    <w:basedOn w:val="Normal"/>
    <w:link w:val="DocumentMapChar"/>
    <w:rsid w:val="00ED7C5A"/>
    <w:rPr>
      <w:rFonts w:ascii="Tahoma" w:hAnsi="Tahoma"/>
      <w:sz w:val="16"/>
      <w:szCs w:val="16"/>
    </w:rPr>
  </w:style>
  <w:style w:type="character" w:customStyle="1" w:styleId="DocumentMapChar">
    <w:name w:val="Document Map Char"/>
    <w:link w:val="DocumentMap"/>
    <w:rsid w:val="00ED7C5A"/>
    <w:rPr>
      <w:rFonts w:ascii="Tahoma" w:hAnsi="Tahoma" w:cs="Tahoma"/>
      <w:sz w:val="16"/>
      <w:szCs w:val="16"/>
    </w:rPr>
  </w:style>
  <w:style w:type="table" w:customStyle="1" w:styleId="FeaturesBenefits">
    <w:name w:val="FeaturesBenefits"/>
    <w:basedOn w:val="BasicTable"/>
    <w:uiPriority w:val="99"/>
    <w:qFormat/>
    <w:rsid w:val="00D318EF"/>
    <w:tbl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tblStylePr w:type="firstCol">
      <w:tblPr/>
      <w:tcPr>
        <w:shd w:val="clear" w:color="auto" w:fill="DED3A6"/>
      </w:tcPr>
    </w:tblStylePr>
  </w:style>
  <w:style w:type="paragraph" w:customStyle="1" w:styleId="TableBullet3">
    <w:name w:val="TableBullet3"/>
    <w:qFormat/>
    <w:rsid w:val="005C32A8"/>
    <w:pPr>
      <w:numPr>
        <w:numId w:val="5"/>
      </w:numPr>
      <w:ind w:left="432" w:hanging="144"/>
    </w:pPr>
    <w:rPr>
      <w:szCs w:val="18"/>
    </w:rPr>
  </w:style>
  <w:style w:type="character" w:customStyle="1" w:styleId="PlaceholderText1">
    <w:name w:val="Placeholder Text1"/>
    <w:uiPriority w:val="99"/>
    <w:semiHidden/>
    <w:rsid w:val="00B10659"/>
    <w:rPr>
      <w:color w:val="808080"/>
    </w:rPr>
  </w:style>
  <w:style w:type="character" w:styleId="CommentReference">
    <w:name w:val="annotation reference"/>
    <w:rsid w:val="00F63C25"/>
    <w:rPr>
      <w:sz w:val="16"/>
      <w:szCs w:val="16"/>
    </w:rPr>
  </w:style>
  <w:style w:type="paragraph" w:styleId="CommentText">
    <w:name w:val="annotation text"/>
    <w:basedOn w:val="Normal"/>
    <w:link w:val="CommentTextChar"/>
    <w:uiPriority w:val="99"/>
    <w:rsid w:val="00F63C25"/>
    <w:rPr>
      <w:sz w:val="20"/>
      <w:szCs w:val="20"/>
    </w:rPr>
  </w:style>
  <w:style w:type="character" w:customStyle="1" w:styleId="CommentTextChar">
    <w:name w:val="Comment Text Char"/>
    <w:basedOn w:val="DefaultParagraphFont"/>
    <w:link w:val="CommentText"/>
    <w:uiPriority w:val="99"/>
    <w:rsid w:val="00F63C25"/>
  </w:style>
  <w:style w:type="paragraph" w:styleId="CommentSubject">
    <w:name w:val="annotation subject"/>
    <w:basedOn w:val="CommentText"/>
    <w:next w:val="CommentText"/>
    <w:link w:val="CommentSubjectChar"/>
    <w:rsid w:val="00F63C25"/>
    <w:rPr>
      <w:b/>
      <w:bCs/>
    </w:rPr>
  </w:style>
  <w:style w:type="character" w:customStyle="1" w:styleId="CommentSubjectChar">
    <w:name w:val="Comment Subject Char"/>
    <w:link w:val="CommentSubject"/>
    <w:rsid w:val="00F63C25"/>
    <w:rPr>
      <w:b/>
      <w:bCs/>
    </w:rPr>
  </w:style>
  <w:style w:type="paragraph" w:customStyle="1" w:styleId="ColorfulShading-Accent11">
    <w:name w:val="Colorful Shading - Accent 11"/>
    <w:hidden/>
    <w:uiPriority w:val="99"/>
    <w:semiHidden/>
    <w:rsid w:val="001C1E2B"/>
  </w:style>
  <w:style w:type="character" w:customStyle="1" w:styleId="TableTextChar">
    <w:name w:val="Table Text Char"/>
    <w:link w:val="TableText"/>
    <w:rsid w:val="00EF1470"/>
    <w:rPr>
      <w:rFonts w:cs="Arial"/>
      <w:szCs w:val="18"/>
    </w:rPr>
  </w:style>
  <w:style w:type="character" w:customStyle="1" w:styleId="TableHeadingChar">
    <w:name w:val="Table Heading Char"/>
    <w:link w:val="TableHeading"/>
    <w:rsid w:val="004C2D3F"/>
    <w:rPr>
      <w:rFonts w:ascii="Arial" w:hAnsi="Arial" w:cs="Arial"/>
      <w:color w:val="FFFFFF" w:themeColor="background1"/>
    </w:rPr>
  </w:style>
  <w:style w:type="character" w:customStyle="1" w:styleId="TableBulletChar">
    <w:name w:val="Table Bullet Char"/>
    <w:link w:val="TableBullet"/>
    <w:rsid w:val="003E22AB"/>
    <w:rPr>
      <w:sz w:val="20"/>
      <w:szCs w:val="18"/>
    </w:rPr>
  </w:style>
  <w:style w:type="paragraph" w:styleId="BodyTextIndent3">
    <w:name w:val="Body Text Indent 3"/>
    <w:basedOn w:val="Normal"/>
    <w:link w:val="BodyTextIndent3Char"/>
    <w:rsid w:val="00FF29E0"/>
    <w:pPr>
      <w:spacing w:after="120"/>
      <w:ind w:left="360"/>
    </w:pPr>
    <w:rPr>
      <w:sz w:val="16"/>
      <w:szCs w:val="16"/>
    </w:rPr>
  </w:style>
  <w:style w:type="character" w:customStyle="1" w:styleId="BodyTextIndent3Char">
    <w:name w:val="Body Text Indent 3 Char"/>
    <w:link w:val="BodyTextIndent3"/>
    <w:rsid w:val="00FF29E0"/>
    <w:rPr>
      <w:sz w:val="16"/>
      <w:szCs w:val="16"/>
    </w:rPr>
  </w:style>
  <w:style w:type="paragraph" w:customStyle="1" w:styleId="Default">
    <w:name w:val="Default"/>
    <w:rsid w:val="00FF29E0"/>
    <w:pPr>
      <w:autoSpaceDE w:val="0"/>
      <w:autoSpaceDN w:val="0"/>
      <w:adjustRightInd w:val="0"/>
    </w:pPr>
    <w:rPr>
      <w:rFonts w:eastAsia="Calibri"/>
      <w:color w:val="000000"/>
    </w:rPr>
  </w:style>
  <w:style w:type="character" w:customStyle="1" w:styleId="ListBulletLastChar">
    <w:name w:val="List Bullet Last Char"/>
    <w:link w:val="ListBulletLast"/>
    <w:rsid w:val="00330126"/>
  </w:style>
  <w:style w:type="paragraph" w:styleId="TOCHeading">
    <w:name w:val="TOC Heading"/>
    <w:basedOn w:val="Heading1"/>
    <w:next w:val="Normal"/>
    <w:uiPriority w:val="39"/>
    <w:unhideWhenUsed/>
    <w:qFormat/>
    <w:rsid w:val="00547D72"/>
    <w:pPr>
      <w:spacing w:before="480" w:line="276" w:lineRule="auto"/>
      <w:outlineLvl w:val="9"/>
    </w:pPr>
    <w:rPr>
      <w:rFonts w:ascii="Cambria" w:eastAsia="MS Gothic" w:hAnsi="Cambria"/>
      <w:color w:val="365F91"/>
      <w:sz w:val="28"/>
      <w:szCs w:val="28"/>
      <w:lang w:eastAsia="ja-JP"/>
    </w:rPr>
  </w:style>
  <w:style w:type="character" w:styleId="PageNumber">
    <w:name w:val="page number"/>
    <w:basedOn w:val="DefaultParagraphFont"/>
    <w:rsid w:val="00AB162A"/>
  </w:style>
  <w:style w:type="table" w:styleId="LightShading-Accent1">
    <w:name w:val="Light Shading Accent 1"/>
    <w:basedOn w:val="TableNormal"/>
    <w:uiPriority w:val="60"/>
    <w:rsid w:val="003B4E7A"/>
    <w:rPr>
      <w:rFonts w:asciiTheme="minorHAnsi" w:eastAsiaTheme="minorEastAsia" w:hAnsiTheme="minorHAnsi" w:cstheme="minorBidi"/>
      <w:color w:val="0F438C" w:themeColor="accent1" w:themeShade="BF"/>
      <w:sz w:val="22"/>
      <w:szCs w:val="22"/>
      <w:lang w:eastAsia="zh-TW"/>
    </w:rPr>
    <w:tblPr>
      <w:tblStyleRowBandSize w:val="1"/>
      <w:tblStyleColBandSize w:val="1"/>
      <w:tblBorders>
        <w:top w:val="single" w:sz="8" w:space="0" w:color="145BBC" w:themeColor="accent1"/>
        <w:bottom w:val="single" w:sz="8" w:space="0" w:color="145BBC" w:themeColor="accent1"/>
      </w:tblBorders>
    </w:tblPr>
    <w:tblStylePr w:type="firstRow">
      <w:pPr>
        <w:spacing w:before="0" w:after="0" w:line="240" w:lineRule="auto"/>
      </w:pPr>
      <w:rPr>
        <w:b/>
        <w:bCs/>
      </w:rPr>
      <w:tblPr/>
      <w:tcPr>
        <w:tcBorders>
          <w:top w:val="single" w:sz="8" w:space="0" w:color="145BBC" w:themeColor="accent1"/>
          <w:left w:val="nil"/>
          <w:bottom w:val="single" w:sz="8" w:space="0" w:color="145BBC" w:themeColor="accent1"/>
          <w:right w:val="nil"/>
          <w:insideH w:val="nil"/>
          <w:insideV w:val="nil"/>
        </w:tcBorders>
      </w:tcPr>
    </w:tblStylePr>
    <w:tblStylePr w:type="lastRow">
      <w:pPr>
        <w:spacing w:before="0" w:after="0" w:line="240" w:lineRule="auto"/>
      </w:pPr>
      <w:rPr>
        <w:b/>
        <w:bCs/>
      </w:rPr>
      <w:tblPr/>
      <w:tcPr>
        <w:tcBorders>
          <w:top w:val="single" w:sz="8" w:space="0" w:color="145BBC" w:themeColor="accent1"/>
          <w:left w:val="nil"/>
          <w:bottom w:val="single" w:sz="8" w:space="0" w:color="145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D4F7" w:themeFill="accent1" w:themeFillTint="3F"/>
      </w:tcPr>
    </w:tblStylePr>
    <w:tblStylePr w:type="band1Horz">
      <w:tblPr/>
      <w:tcPr>
        <w:tcBorders>
          <w:left w:val="nil"/>
          <w:right w:val="nil"/>
          <w:insideH w:val="nil"/>
          <w:insideV w:val="nil"/>
        </w:tcBorders>
        <w:shd w:val="clear" w:color="auto" w:fill="BBD4F7" w:themeFill="accent1" w:themeFillTint="3F"/>
      </w:tcPr>
    </w:tblStylePr>
  </w:style>
  <w:style w:type="paragraph" w:styleId="NoSpacing">
    <w:name w:val="No Spacing"/>
    <w:link w:val="NoSpacingChar"/>
    <w:rsid w:val="003B4E7A"/>
    <w:rPr>
      <w:rFonts w:ascii="PMingLiU" w:eastAsiaTheme="minorEastAsia" w:hAnsi="PMingLiU" w:cstheme="minorBidi"/>
      <w:sz w:val="22"/>
      <w:szCs w:val="22"/>
    </w:rPr>
  </w:style>
  <w:style w:type="character" w:customStyle="1" w:styleId="NoSpacingChar">
    <w:name w:val="No Spacing Char"/>
    <w:basedOn w:val="DefaultParagraphFont"/>
    <w:link w:val="NoSpacing"/>
    <w:rsid w:val="003B4E7A"/>
    <w:rPr>
      <w:rFonts w:ascii="PMingLiU" w:eastAsiaTheme="minorEastAsia" w:hAnsi="PMingLiU" w:cstheme="minorBidi"/>
      <w:sz w:val="22"/>
      <w:szCs w:val="22"/>
    </w:rPr>
  </w:style>
  <w:style w:type="paragraph" w:customStyle="1" w:styleId="CalloutText">
    <w:name w:val="Callout Text"/>
    <w:basedOn w:val="Normal"/>
    <w:link w:val="CalloutTextChar"/>
    <w:qFormat/>
    <w:rsid w:val="00A90265"/>
    <w:pPr>
      <w:ind w:right="-360"/>
    </w:pPr>
    <w:rPr>
      <w:color w:val="AD761F"/>
      <w:sz w:val="32"/>
    </w:rPr>
  </w:style>
  <w:style w:type="paragraph" w:customStyle="1" w:styleId="SecondaryCalloutText">
    <w:name w:val="Secondary Callout Text"/>
    <w:basedOn w:val="Normal"/>
    <w:link w:val="SecondaryCalloutTextChar"/>
    <w:rsid w:val="00A90265"/>
    <w:pPr>
      <w:ind w:right="-360"/>
    </w:pPr>
    <w:rPr>
      <w:i/>
      <w:color w:val="AD761F"/>
    </w:rPr>
  </w:style>
  <w:style w:type="character" w:customStyle="1" w:styleId="CalloutTextChar">
    <w:name w:val="Callout Text Char"/>
    <w:basedOn w:val="DefaultParagraphFont"/>
    <w:link w:val="CalloutText"/>
    <w:rsid w:val="00A90265"/>
    <w:rPr>
      <w:color w:val="AD761F"/>
      <w:sz w:val="32"/>
    </w:rPr>
  </w:style>
  <w:style w:type="paragraph" w:customStyle="1" w:styleId="Sectionintrocontent">
    <w:name w:val="Section intro content"/>
    <w:basedOn w:val="Normal"/>
    <w:link w:val="SectionintrocontentChar"/>
    <w:qFormat/>
    <w:rsid w:val="009C52EE"/>
    <w:pPr>
      <w:ind w:right="-360"/>
    </w:pPr>
    <w:rPr>
      <w:rFonts w:ascii="Helvetica" w:hAnsi="Helvetica"/>
      <w:color w:val="595959" w:themeColor="text1" w:themeTint="A6"/>
      <w:sz w:val="26"/>
    </w:rPr>
  </w:style>
  <w:style w:type="character" w:customStyle="1" w:styleId="SecondaryCalloutTextChar">
    <w:name w:val="Secondary Callout Text Char"/>
    <w:basedOn w:val="DefaultParagraphFont"/>
    <w:link w:val="SecondaryCalloutText"/>
    <w:rsid w:val="00A90265"/>
    <w:rPr>
      <w:i/>
      <w:color w:val="AD761F"/>
    </w:rPr>
  </w:style>
  <w:style w:type="paragraph" w:customStyle="1" w:styleId="Referencecitation">
    <w:name w:val="Reference citation"/>
    <w:basedOn w:val="Normal"/>
    <w:link w:val="ReferencecitationChar"/>
    <w:qFormat/>
    <w:rsid w:val="00246CF6"/>
    <w:pPr>
      <w:pBdr>
        <w:top w:val="single" w:sz="2" w:space="1" w:color="365F91"/>
      </w:pBdr>
      <w:spacing w:before="10" w:after="120"/>
      <w:jc w:val="right"/>
    </w:pPr>
    <w:rPr>
      <w:rFonts w:ascii="Arial" w:hAnsi="Arial" w:cs="Arial"/>
      <w:b/>
      <w:i/>
      <w:color w:val="17365D" w:themeColor="text2" w:themeShade="BF"/>
      <w:sz w:val="20"/>
      <w:szCs w:val="20"/>
    </w:rPr>
  </w:style>
  <w:style w:type="character" w:customStyle="1" w:styleId="SectionintrocontentChar">
    <w:name w:val="Section intro content Char"/>
    <w:basedOn w:val="DefaultParagraphFont"/>
    <w:link w:val="Sectionintrocontent"/>
    <w:rsid w:val="009C52EE"/>
    <w:rPr>
      <w:rFonts w:ascii="Helvetica" w:hAnsi="Helvetica"/>
      <w:color w:val="595959" w:themeColor="text1" w:themeTint="A6"/>
      <w:sz w:val="26"/>
    </w:rPr>
  </w:style>
  <w:style w:type="paragraph" w:styleId="ListParagraph">
    <w:name w:val="List Paragraph"/>
    <w:basedOn w:val="Normal"/>
    <w:uiPriority w:val="34"/>
    <w:qFormat/>
    <w:rsid w:val="00246CF6"/>
    <w:pPr>
      <w:ind w:left="720"/>
      <w:contextualSpacing/>
    </w:pPr>
  </w:style>
  <w:style w:type="character" w:customStyle="1" w:styleId="ReferencecitationChar">
    <w:name w:val="Reference citation Char"/>
    <w:basedOn w:val="DefaultParagraphFont"/>
    <w:link w:val="Referencecitation"/>
    <w:rsid w:val="00246CF6"/>
    <w:rPr>
      <w:rFonts w:ascii="Arial" w:hAnsi="Arial" w:cs="Arial"/>
      <w:b/>
      <w:i/>
      <w:color w:val="17365D" w:themeColor="text2" w:themeShade="BF"/>
      <w:sz w:val="20"/>
      <w:szCs w:val="20"/>
    </w:rPr>
  </w:style>
  <w:style w:type="table" w:customStyle="1" w:styleId="OCPATable">
    <w:name w:val="OCPA_Table"/>
    <w:basedOn w:val="TableNormal"/>
    <w:uiPriority w:val="99"/>
    <w:qFormat/>
    <w:rsid w:val="00BC0AFF"/>
    <w:pPr>
      <w:spacing w:before="80" w:after="80"/>
    </w:pPr>
    <w:tblPr>
      <w:tblStyleRowBandSize w:val="1"/>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
    <w:tblStylePr w:type="firstRow">
      <w:pPr>
        <w:wordWrap/>
        <w:spacing w:beforeLines="0" w:beforeAutospacing="0" w:afterLines="0" w:afterAutospacing="0" w:line="240" w:lineRule="auto"/>
        <w:jc w:val="left"/>
      </w:pPr>
      <w:rPr>
        <w:rFonts w:ascii="Arial" w:hAnsi="Arial"/>
        <w:b/>
        <w:color w:val="FFFFFF" w:themeColor="background1"/>
        <w:sz w:val="24"/>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1F497D" w:themeFill="text2"/>
      </w:tcPr>
    </w:tblStylePr>
    <w:tblStylePr w:type="lastRow">
      <w:pPr>
        <w:wordWrap/>
        <w:spacing w:beforeLines="0" w:beforeAutospacing="0" w:afterLines="0" w:afterAutospacing="0" w:line="240" w:lineRule="auto"/>
      </w:pPr>
      <w:rPr>
        <w:rFonts w:ascii="Times New Roman" w:hAnsi="Times New Roman"/>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FAF2DA"/>
      </w:tcPr>
    </w:tblStylePr>
    <w:tblStylePr w:type="band1Horz">
      <w:pPr>
        <w:wordWrap/>
        <w:spacing w:beforeLines="0" w:beforeAutospacing="0" w:afterLines="0" w:afterAutospacing="0" w:line="240" w:lineRule="auto"/>
      </w:pPr>
      <w:rPr>
        <w:rFonts w:ascii="Times New Roman" w:hAnsi="Times New Roman"/>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FAF2DA"/>
      </w:tcPr>
    </w:tblStylePr>
    <w:tblStylePr w:type="band2Horz">
      <w:pPr>
        <w:wordWrap/>
        <w:spacing w:beforeLines="0" w:beforeAutospacing="0" w:afterLines="0" w:afterAutospacing="0" w:line="240" w:lineRule="auto"/>
      </w:pPr>
      <w:rPr>
        <w:rFonts w:ascii="Times New Roman" w:hAnsi="Times New Roman"/>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tcPr>
    </w:tblStylePr>
  </w:style>
  <w:style w:type="paragraph" w:styleId="Revision">
    <w:name w:val="Revision"/>
    <w:hidden/>
    <w:rsid w:val="00FE6123"/>
  </w:style>
  <w:style w:type="character" w:customStyle="1" w:styleId="st1">
    <w:name w:val="st1"/>
    <w:basedOn w:val="DefaultParagraphFont"/>
    <w:rsid w:val="00801821"/>
  </w:style>
  <w:style w:type="paragraph" w:customStyle="1" w:styleId="Lamb-normal">
    <w:name w:val="Lamb-normal"/>
    <w:basedOn w:val="NormalWeb"/>
    <w:link w:val="Lamb-normalChar"/>
    <w:autoRedefine/>
    <w:rsid w:val="004E3B20"/>
    <w:pPr>
      <w:widowControl w:val="0"/>
      <w:tabs>
        <w:tab w:val="left" w:pos="1800"/>
        <w:tab w:val="left" w:pos="3600"/>
        <w:tab w:val="left" w:pos="5040"/>
      </w:tabs>
      <w:spacing w:after="120"/>
    </w:pPr>
    <w:rPr>
      <w:b/>
      <w:noProof/>
      <w:lang w:val="en-GB"/>
    </w:rPr>
  </w:style>
  <w:style w:type="character" w:customStyle="1" w:styleId="Lamb-normalChar">
    <w:name w:val="Lamb-normal Char"/>
    <w:link w:val="Lamb-normal"/>
    <w:rsid w:val="004E3B20"/>
    <w:rPr>
      <w:b/>
      <w:noProof/>
      <w:lang w:val="en-GB"/>
    </w:rPr>
  </w:style>
  <w:style w:type="paragraph" w:styleId="NormalWeb">
    <w:name w:val="Normal (Web)"/>
    <w:basedOn w:val="Normal"/>
    <w:uiPriority w:val="99"/>
    <w:rsid w:val="004E3B20"/>
  </w:style>
  <w:style w:type="paragraph" w:customStyle="1" w:styleId="TableHead">
    <w:name w:val="Table Head"/>
    <w:basedOn w:val="TableText"/>
    <w:link w:val="TableHeadChar"/>
    <w:rsid w:val="005B5FD1"/>
    <w:pPr>
      <w:spacing w:before="40" w:after="40"/>
      <w:jc w:val="center"/>
    </w:pPr>
    <w:rPr>
      <w:rFonts w:eastAsia="Arial Unicode MS"/>
      <w:b/>
      <w:iCs/>
      <w:color w:val="FFFFFF"/>
      <w:sz w:val="24"/>
      <w:szCs w:val="20"/>
    </w:rPr>
  </w:style>
  <w:style w:type="character" w:customStyle="1" w:styleId="TableHeadChar">
    <w:name w:val="Table Head Char"/>
    <w:link w:val="TableHead"/>
    <w:rsid w:val="005B5FD1"/>
    <w:rPr>
      <w:rFonts w:eastAsia="Arial Unicode MS"/>
      <w:b/>
      <w:iCs/>
      <w:color w:val="FFFFFF"/>
      <w:szCs w:val="20"/>
    </w:rPr>
  </w:style>
  <w:style w:type="paragraph" w:customStyle="1" w:styleId="HeadNoNum">
    <w:name w:val="HeadNoNum"/>
    <w:basedOn w:val="BodyText"/>
    <w:uiPriority w:val="99"/>
    <w:semiHidden/>
    <w:qFormat/>
    <w:rsid w:val="000D3080"/>
    <w:rPr>
      <w:b/>
      <w:color w:val="0F243E"/>
    </w:rPr>
  </w:style>
  <w:style w:type="paragraph" w:customStyle="1" w:styleId="ResumeJob">
    <w:name w:val="Resume Job"/>
    <w:basedOn w:val="BodyText"/>
    <w:uiPriority w:val="99"/>
    <w:semiHidden/>
    <w:qFormat/>
    <w:rsid w:val="000D3080"/>
    <w:pPr>
      <w:tabs>
        <w:tab w:val="right" w:pos="9360"/>
      </w:tabs>
    </w:pPr>
    <w:rPr>
      <w:b/>
      <w:i/>
      <w:color w:val="336600"/>
    </w:rPr>
  </w:style>
  <w:style w:type="character" w:customStyle="1" w:styleId="apple-converted-space">
    <w:name w:val="apple-converted-space"/>
    <w:basedOn w:val="DefaultParagraphFont"/>
    <w:rsid w:val="00076535"/>
  </w:style>
  <w:style w:type="paragraph" w:customStyle="1" w:styleId="b">
    <w:name w:val="b"/>
    <w:basedOn w:val="Normal"/>
    <w:qFormat/>
    <w:rsid w:val="00F53ED7"/>
    <w:pPr>
      <w:spacing w:after="120"/>
    </w:pPr>
  </w:style>
  <w:style w:type="paragraph" w:customStyle="1" w:styleId="b1a">
    <w:name w:val="b1a"/>
    <w:basedOn w:val="ListBullet"/>
    <w:next w:val="BodyText"/>
    <w:rsid w:val="00F53ED7"/>
    <w:pPr>
      <w:numPr>
        <w:numId w:val="0"/>
      </w:numPr>
      <w:suppressAutoHyphens/>
      <w:spacing w:after="120"/>
    </w:pPr>
    <w:rPr>
      <w:rFonts w:ascii="Calibri" w:hAnsi="Calibri"/>
      <w:sz w:val="22"/>
    </w:rPr>
  </w:style>
  <w:style w:type="paragraph" w:customStyle="1" w:styleId="bn">
    <w:name w:val="bn]"/>
    <w:basedOn w:val="BodyText"/>
    <w:qFormat/>
    <w:rsid w:val="00F53ED7"/>
    <w:pPr>
      <w:jc w:val="both"/>
    </w:pPr>
    <w:rPr>
      <w:rFonts w:ascii="Calibri" w:hAnsi="Calibri"/>
      <w:sz w:val="22"/>
    </w:rPr>
  </w:style>
  <w:style w:type="paragraph" w:customStyle="1" w:styleId="t1c">
    <w:name w:val="t1c"/>
    <w:basedOn w:val="Normal"/>
    <w:rsid w:val="00F53ED7"/>
    <w:pPr>
      <w:suppressAutoHyphens/>
      <w:jc w:val="center"/>
    </w:pPr>
    <w:rPr>
      <w:rFonts w:ascii="Arial Narrow" w:hAnsi="Arial Narrow"/>
      <w:color w:val="203C73"/>
      <w:sz w:val="18"/>
    </w:rPr>
  </w:style>
  <w:style w:type="paragraph" w:customStyle="1" w:styleId="tsh">
    <w:name w:val="tsh"/>
    <w:basedOn w:val="Normal"/>
    <w:rsid w:val="00F53ED7"/>
    <w:pPr>
      <w:suppressAutoHyphens/>
      <w:spacing w:before="20" w:after="20"/>
    </w:pPr>
    <w:rPr>
      <w:rFonts w:ascii="Arial Narrow" w:hAnsi="Arial Narrow"/>
      <w:b/>
      <w:color w:val="FFFFFF"/>
      <w:sz w:val="18"/>
    </w:rPr>
  </w:style>
  <w:style w:type="table" w:styleId="LightGrid-Accent1">
    <w:name w:val="Light Grid Accent 1"/>
    <w:basedOn w:val="TableNormal"/>
    <w:rsid w:val="00E24CB4"/>
    <w:tblPr>
      <w:tblStyleRowBandSize w:val="1"/>
      <w:tblStyleColBandSize w:val="1"/>
      <w:tblBorders>
        <w:top w:val="single" w:sz="8" w:space="0" w:color="145BBC" w:themeColor="accent1"/>
        <w:left w:val="single" w:sz="8" w:space="0" w:color="145BBC" w:themeColor="accent1"/>
        <w:bottom w:val="single" w:sz="8" w:space="0" w:color="145BBC" w:themeColor="accent1"/>
        <w:right w:val="single" w:sz="8" w:space="0" w:color="145BBC" w:themeColor="accent1"/>
        <w:insideH w:val="single" w:sz="8" w:space="0" w:color="145BBC" w:themeColor="accent1"/>
        <w:insideV w:val="single" w:sz="8" w:space="0" w:color="145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5BBC" w:themeColor="accent1"/>
          <w:left w:val="single" w:sz="8" w:space="0" w:color="145BBC" w:themeColor="accent1"/>
          <w:bottom w:val="single" w:sz="18" w:space="0" w:color="145BBC" w:themeColor="accent1"/>
          <w:right w:val="single" w:sz="8" w:space="0" w:color="145BBC" w:themeColor="accent1"/>
          <w:insideH w:val="nil"/>
          <w:insideV w:val="single" w:sz="8" w:space="0" w:color="145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5BBC" w:themeColor="accent1"/>
          <w:left w:val="single" w:sz="8" w:space="0" w:color="145BBC" w:themeColor="accent1"/>
          <w:bottom w:val="single" w:sz="8" w:space="0" w:color="145BBC" w:themeColor="accent1"/>
          <w:right w:val="single" w:sz="8" w:space="0" w:color="145BBC" w:themeColor="accent1"/>
          <w:insideH w:val="nil"/>
          <w:insideV w:val="single" w:sz="8" w:space="0" w:color="145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5BBC" w:themeColor="accent1"/>
          <w:left w:val="single" w:sz="8" w:space="0" w:color="145BBC" w:themeColor="accent1"/>
          <w:bottom w:val="single" w:sz="8" w:space="0" w:color="145BBC" w:themeColor="accent1"/>
          <w:right w:val="single" w:sz="8" w:space="0" w:color="145BBC" w:themeColor="accent1"/>
        </w:tcBorders>
      </w:tcPr>
    </w:tblStylePr>
    <w:tblStylePr w:type="band1Vert">
      <w:tblPr/>
      <w:tcPr>
        <w:tcBorders>
          <w:top w:val="single" w:sz="8" w:space="0" w:color="145BBC" w:themeColor="accent1"/>
          <w:left w:val="single" w:sz="8" w:space="0" w:color="145BBC" w:themeColor="accent1"/>
          <w:bottom w:val="single" w:sz="8" w:space="0" w:color="145BBC" w:themeColor="accent1"/>
          <w:right w:val="single" w:sz="8" w:space="0" w:color="145BBC" w:themeColor="accent1"/>
        </w:tcBorders>
        <w:shd w:val="clear" w:color="auto" w:fill="BBD4F7" w:themeFill="accent1" w:themeFillTint="3F"/>
      </w:tcPr>
    </w:tblStylePr>
    <w:tblStylePr w:type="band1Horz">
      <w:tblPr/>
      <w:tcPr>
        <w:tcBorders>
          <w:top w:val="single" w:sz="8" w:space="0" w:color="145BBC" w:themeColor="accent1"/>
          <w:left w:val="single" w:sz="8" w:space="0" w:color="145BBC" w:themeColor="accent1"/>
          <w:bottom w:val="single" w:sz="8" w:space="0" w:color="145BBC" w:themeColor="accent1"/>
          <w:right w:val="single" w:sz="8" w:space="0" w:color="145BBC" w:themeColor="accent1"/>
          <w:insideV w:val="single" w:sz="8" w:space="0" w:color="145BBC" w:themeColor="accent1"/>
        </w:tcBorders>
        <w:shd w:val="clear" w:color="auto" w:fill="BBD4F7" w:themeFill="accent1" w:themeFillTint="3F"/>
      </w:tcPr>
    </w:tblStylePr>
    <w:tblStylePr w:type="band2Horz">
      <w:tblPr/>
      <w:tcPr>
        <w:tcBorders>
          <w:top w:val="single" w:sz="8" w:space="0" w:color="145BBC" w:themeColor="accent1"/>
          <w:left w:val="single" w:sz="8" w:space="0" w:color="145BBC" w:themeColor="accent1"/>
          <w:bottom w:val="single" w:sz="8" w:space="0" w:color="145BBC" w:themeColor="accent1"/>
          <w:right w:val="single" w:sz="8" w:space="0" w:color="145BBC" w:themeColor="accent1"/>
          <w:insideV w:val="single" w:sz="8" w:space="0" w:color="145BBC" w:themeColor="accent1"/>
        </w:tcBorders>
      </w:tcPr>
    </w:tblStylePr>
  </w:style>
  <w:style w:type="table" w:styleId="LightGrid-Accent5">
    <w:name w:val="Light Grid Accent 5"/>
    <w:basedOn w:val="TableNormal"/>
    <w:rsid w:val="00E24CB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0">
    <w:name w:val="DEFAULT"/>
    <w:basedOn w:val="BodyText"/>
    <w:qFormat/>
    <w:rsid w:val="00D2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0565">
      <w:bodyDiv w:val="1"/>
      <w:marLeft w:val="0"/>
      <w:marRight w:val="0"/>
      <w:marTop w:val="0"/>
      <w:marBottom w:val="0"/>
      <w:divBdr>
        <w:top w:val="none" w:sz="0" w:space="0" w:color="auto"/>
        <w:left w:val="none" w:sz="0" w:space="0" w:color="auto"/>
        <w:bottom w:val="none" w:sz="0" w:space="0" w:color="auto"/>
        <w:right w:val="none" w:sz="0" w:space="0" w:color="auto"/>
      </w:divBdr>
    </w:div>
    <w:div w:id="97257120">
      <w:bodyDiv w:val="1"/>
      <w:marLeft w:val="0"/>
      <w:marRight w:val="0"/>
      <w:marTop w:val="0"/>
      <w:marBottom w:val="0"/>
      <w:divBdr>
        <w:top w:val="none" w:sz="0" w:space="0" w:color="auto"/>
        <w:left w:val="none" w:sz="0" w:space="0" w:color="auto"/>
        <w:bottom w:val="none" w:sz="0" w:space="0" w:color="auto"/>
        <w:right w:val="none" w:sz="0" w:space="0" w:color="auto"/>
      </w:divBdr>
    </w:div>
    <w:div w:id="218445810">
      <w:bodyDiv w:val="1"/>
      <w:marLeft w:val="0"/>
      <w:marRight w:val="0"/>
      <w:marTop w:val="0"/>
      <w:marBottom w:val="0"/>
      <w:divBdr>
        <w:top w:val="none" w:sz="0" w:space="0" w:color="auto"/>
        <w:left w:val="none" w:sz="0" w:space="0" w:color="auto"/>
        <w:bottom w:val="none" w:sz="0" w:space="0" w:color="auto"/>
        <w:right w:val="none" w:sz="0" w:space="0" w:color="auto"/>
      </w:divBdr>
    </w:div>
    <w:div w:id="274020066">
      <w:bodyDiv w:val="1"/>
      <w:marLeft w:val="0"/>
      <w:marRight w:val="0"/>
      <w:marTop w:val="0"/>
      <w:marBottom w:val="0"/>
      <w:divBdr>
        <w:top w:val="none" w:sz="0" w:space="0" w:color="auto"/>
        <w:left w:val="none" w:sz="0" w:space="0" w:color="auto"/>
        <w:bottom w:val="none" w:sz="0" w:space="0" w:color="auto"/>
        <w:right w:val="none" w:sz="0" w:space="0" w:color="auto"/>
      </w:divBdr>
    </w:div>
    <w:div w:id="468743602">
      <w:bodyDiv w:val="1"/>
      <w:marLeft w:val="0"/>
      <w:marRight w:val="0"/>
      <w:marTop w:val="0"/>
      <w:marBottom w:val="0"/>
      <w:divBdr>
        <w:top w:val="none" w:sz="0" w:space="0" w:color="auto"/>
        <w:left w:val="none" w:sz="0" w:space="0" w:color="auto"/>
        <w:bottom w:val="none" w:sz="0" w:space="0" w:color="auto"/>
        <w:right w:val="none" w:sz="0" w:space="0" w:color="auto"/>
      </w:divBdr>
    </w:div>
    <w:div w:id="593974717">
      <w:bodyDiv w:val="1"/>
      <w:marLeft w:val="0"/>
      <w:marRight w:val="0"/>
      <w:marTop w:val="0"/>
      <w:marBottom w:val="0"/>
      <w:divBdr>
        <w:top w:val="none" w:sz="0" w:space="0" w:color="auto"/>
        <w:left w:val="none" w:sz="0" w:space="0" w:color="auto"/>
        <w:bottom w:val="none" w:sz="0" w:space="0" w:color="auto"/>
        <w:right w:val="none" w:sz="0" w:space="0" w:color="auto"/>
      </w:divBdr>
    </w:div>
    <w:div w:id="758216887">
      <w:bodyDiv w:val="1"/>
      <w:marLeft w:val="0"/>
      <w:marRight w:val="0"/>
      <w:marTop w:val="0"/>
      <w:marBottom w:val="0"/>
      <w:divBdr>
        <w:top w:val="none" w:sz="0" w:space="0" w:color="auto"/>
        <w:left w:val="none" w:sz="0" w:space="0" w:color="auto"/>
        <w:bottom w:val="none" w:sz="0" w:space="0" w:color="auto"/>
        <w:right w:val="none" w:sz="0" w:space="0" w:color="auto"/>
      </w:divBdr>
    </w:div>
    <w:div w:id="1071390856">
      <w:bodyDiv w:val="1"/>
      <w:marLeft w:val="0"/>
      <w:marRight w:val="0"/>
      <w:marTop w:val="0"/>
      <w:marBottom w:val="0"/>
      <w:divBdr>
        <w:top w:val="none" w:sz="0" w:space="0" w:color="auto"/>
        <w:left w:val="none" w:sz="0" w:space="0" w:color="auto"/>
        <w:bottom w:val="none" w:sz="0" w:space="0" w:color="auto"/>
        <w:right w:val="none" w:sz="0" w:space="0" w:color="auto"/>
      </w:divBdr>
    </w:div>
    <w:div w:id="1130975986">
      <w:bodyDiv w:val="1"/>
      <w:marLeft w:val="0"/>
      <w:marRight w:val="0"/>
      <w:marTop w:val="0"/>
      <w:marBottom w:val="0"/>
      <w:divBdr>
        <w:top w:val="none" w:sz="0" w:space="0" w:color="auto"/>
        <w:left w:val="none" w:sz="0" w:space="0" w:color="auto"/>
        <w:bottom w:val="none" w:sz="0" w:space="0" w:color="auto"/>
        <w:right w:val="none" w:sz="0" w:space="0" w:color="auto"/>
      </w:divBdr>
    </w:div>
    <w:div w:id="1197229862">
      <w:bodyDiv w:val="1"/>
      <w:marLeft w:val="0"/>
      <w:marRight w:val="0"/>
      <w:marTop w:val="0"/>
      <w:marBottom w:val="0"/>
      <w:divBdr>
        <w:top w:val="none" w:sz="0" w:space="0" w:color="auto"/>
        <w:left w:val="none" w:sz="0" w:space="0" w:color="auto"/>
        <w:bottom w:val="none" w:sz="0" w:space="0" w:color="auto"/>
        <w:right w:val="none" w:sz="0" w:space="0" w:color="auto"/>
      </w:divBdr>
    </w:div>
    <w:div w:id="1427657236">
      <w:bodyDiv w:val="1"/>
      <w:marLeft w:val="0"/>
      <w:marRight w:val="0"/>
      <w:marTop w:val="0"/>
      <w:marBottom w:val="0"/>
      <w:divBdr>
        <w:top w:val="none" w:sz="0" w:space="0" w:color="auto"/>
        <w:left w:val="none" w:sz="0" w:space="0" w:color="auto"/>
        <w:bottom w:val="none" w:sz="0" w:space="0" w:color="auto"/>
        <w:right w:val="none" w:sz="0" w:space="0" w:color="auto"/>
      </w:divBdr>
    </w:div>
    <w:div w:id="1591084199">
      <w:bodyDiv w:val="1"/>
      <w:marLeft w:val="0"/>
      <w:marRight w:val="0"/>
      <w:marTop w:val="0"/>
      <w:marBottom w:val="0"/>
      <w:divBdr>
        <w:top w:val="none" w:sz="0" w:space="0" w:color="auto"/>
        <w:left w:val="none" w:sz="0" w:space="0" w:color="auto"/>
        <w:bottom w:val="none" w:sz="0" w:space="0" w:color="auto"/>
        <w:right w:val="none" w:sz="0" w:space="0" w:color="auto"/>
      </w:divBdr>
    </w:div>
    <w:div w:id="1678311532">
      <w:bodyDiv w:val="1"/>
      <w:marLeft w:val="0"/>
      <w:marRight w:val="0"/>
      <w:marTop w:val="0"/>
      <w:marBottom w:val="0"/>
      <w:divBdr>
        <w:top w:val="none" w:sz="0" w:space="0" w:color="auto"/>
        <w:left w:val="none" w:sz="0" w:space="0" w:color="auto"/>
        <w:bottom w:val="none" w:sz="0" w:space="0" w:color="auto"/>
        <w:right w:val="none" w:sz="0" w:space="0" w:color="auto"/>
      </w:divBdr>
    </w:div>
    <w:div w:id="1723553958">
      <w:bodyDiv w:val="1"/>
      <w:marLeft w:val="0"/>
      <w:marRight w:val="0"/>
      <w:marTop w:val="0"/>
      <w:marBottom w:val="0"/>
      <w:divBdr>
        <w:top w:val="none" w:sz="0" w:space="0" w:color="auto"/>
        <w:left w:val="none" w:sz="0" w:space="0" w:color="auto"/>
        <w:bottom w:val="none" w:sz="0" w:space="0" w:color="auto"/>
        <w:right w:val="none" w:sz="0" w:space="0" w:color="auto"/>
      </w:divBdr>
    </w:div>
    <w:div w:id="1779525508">
      <w:bodyDiv w:val="1"/>
      <w:marLeft w:val="0"/>
      <w:marRight w:val="0"/>
      <w:marTop w:val="0"/>
      <w:marBottom w:val="0"/>
      <w:divBdr>
        <w:top w:val="none" w:sz="0" w:space="0" w:color="auto"/>
        <w:left w:val="none" w:sz="0" w:space="0" w:color="auto"/>
        <w:bottom w:val="none" w:sz="0" w:space="0" w:color="auto"/>
        <w:right w:val="none" w:sz="0" w:space="0" w:color="auto"/>
      </w:divBdr>
    </w:div>
    <w:div w:id="1818912265">
      <w:bodyDiv w:val="1"/>
      <w:marLeft w:val="0"/>
      <w:marRight w:val="0"/>
      <w:marTop w:val="0"/>
      <w:marBottom w:val="0"/>
      <w:divBdr>
        <w:top w:val="none" w:sz="0" w:space="0" w:color="auto"/>
        <w:left w:val="none" w:sz="0" w:space="0" w:color="auto"/>
        <w:bottom w:val="none" w:sz="0" w:space="0" w:color="auto"/>
        <w:right w:val="none" w:sz="0" w:space="0" w:color="auto"/>
      </w:divBdr>
    </w:div>
    <w:div w:id="1901406531">
      <w:bodyDiv w:val="1"/>
      <w:marLeft w:val="0"/>
      <w:marRight w:val="0"/>
      <w:marTop w:val="0"/>
      <w:marBottom w:val="0"/>
      <w:divBdr>
        <w:top w:val="none" w:sz="0" w:space="0" w:color="auto"/>
        <w:left w:val="none" w:sz="0" w:space="0" w:color="auto"/>
        <w:bottom w:val="none" w:sz="0" w:space="0" w:color="auto"/>
        <w:right w:val="none" w:sz="0" w:space="0" w:color="auto"/>
      </w:divBdr>
    </w:div>
    <w:div w:id="1977177786">
      <w:bodyDiv w:val="1"/>
      <w:marLeft w:val="0"/>
      <w:marRight w:val="0"/>
      <w:marTop w:val="0"/>
      <w:marBottom w:val="0"/>
      <w:divBdr>
        <w:top w:val="none" w:sz="0" w:space="0" w:color="auto"/>
        <w:left w:val="none" w:sz="0" w:space="0" w:color="auto"/>
        <w:bottom w:val="none" w:sz="0" w:space="0" w:color="auto"/>
        <w:right w:val="none" w:sz="0" w:space="0" w:color="auto"/>
      </w:divBdr>
    </w:div>
    <w:div w:id="2056082258">
      <w:bodyDiv w:val="1"/>
      <w:marLeft w:val="0"/>
      <w:marRight w:val="0"/>
      <w:marTop w:val="0"/>
      <w:marBottom w:val="0"/>
      <w:divBdr>
        <w:top w:val="none" w:sz="0" w:space="0" w:color="auto"/>
        <w:left w:val="none" w:sz="0" w:space="0" w:color="auto"/>
        <w:bottom w:val="none" w:sz="0" w:space="0" w:color="auto"/>
        <w:right w:val="none" w:sz="0" w:space="0" w:color="auto"/>
      </w:divBdr>
    </w:div>
    <w:div w:id="2094467876">
      <w:bodyDiv w:val="1"/>
      <w:marLeft w:val="0"/>
      <w:marRight w:val="0"/>
      <w:marTop w:val="0"/>
      <w:marBottom w:val="0"/>
      <w:divBdr>
        <w:top w:val="none" w:sz="0" w:space="0" w:color="auto"/>
        <w:left w:val="none" w:sz="0" w:space="0" w:color="auto"/>
        <w:bottom w:val="none" w:sz="0" w:space="0" w:color="auto"/>
        <w:right w:val="none" w:sz="0" w:space="0" w:color="auto"/>
      </w:divBdr>
    </w:div>
    <w:div w:id="21393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en.wikipedia.org/wiki/Irregular_warfare" TargetMode="External"/><Relationship Id="rId26" Type="http://schemas.openxmlformats.org/officeDocument/2006/relationships/hyperlink" Target="http://en.wikipedia.org/wiki/Information_warfare" TargetMode="External"/><Relationship Id="rId39" Type="http://schemas.openxmlformats.org/officeDocument/2006/relationships/footer" Target="footer1.xml"/><Relationship Id="rId21" Type="http://schemas.openxmlformats.org/officeDocument/2006/relationships/hyperlink" Target="http://en.wikipedia.org/wiki/Nuclear_warfare" TargetMode="External"/><Relationship Id="rId34" Type="http://schemas.openxmlformats.org/officeDocument/2006/relationships/hyperlink" Target="http://en.wikipedia.org/wiki/Viet_Con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n.wikipedia.org/wiki/Military_strategy" TargetMode="External"/><Relationship Id="rId20" Type="http://schemas.openxmlformats.org/officeDocument/2006/relationships/hyperlink" Target="http://en.wikipedia.org/wiki/Hybrid_warfare" TargetMode="External"/><Relationship Id="rId29" Type="http://schemas.openxmlformats.org/officeDocument/2006/relationships/hyperlink" Target="http://en.wikipedia.org/wiki/Warfare"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en.wikipedia.org/wiki/Weapon" TargetMode="External"/><Relationship Id="rId32" Type="http://schemas.openxmlformats.org/officeDocument/2006/relationships/hyperlink" Target="http://en.wikipedia.org/wiki/Hybrid_warfare" TargetMode="External"/><Relationship Id="rId37" Type="http://schemas.openxmlformats.org/officeDocument/2006/relationships/image" Target="media/image1.png"/><Relationship Id="rId40" Type="http://schemas.openxmlformats.org/officeDocument/2006/relationships/image" Target="media/image2.jpeg"/><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en.wikipedia.org/wiki/Chemical_warfare" TargetMode="External"/><Relationship Id="rId28" Type="http://schemas.openxmlformats.org/officeDocument/2006/relationships/hyperlink" Target="http://en.wikipedia.org/wiki/War" TargetMode="External"/><Relationship Id="rId36" Type="http://schemas.openxmlformats.org/officeDocument/2006/relationships/hyperlink" Target="http://en.wikipedia.org/wiki/C-802" TargetMode="External"/><Relationship Id="rId10" Type="http://schemas.openxmlformats.org/officeDocument/2006/relationships/endnotes" Target="endnotes.xml"/><Relationship Id="rId19" Type="http://schemas.openxmlformats.org/officeDocument/2006/relationships/hyperlink" Target="http://en.wikipedia.org/wiki/Cyberwarfare" TargetMode="External"/><Relationship Id="rId31" Type="http://schemas.openxmlformats.org/officeDocument/2006/relationships/hyperlink" Target="http://en.wikipedia.org/wiki/Hybrid_warf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en.wikipedia.org/wiki/Biological_warfare" TargetMode="External"/><Relationship Id="rId27" Type="http://schemas.openxmlformats.org/officeDocument/2006/relationships/hyperlink" Target="http://en.wikipedia.org/wiki/Hybrid_warfare" TargetMode="External"/><Relationship Id="rId30" Type="http://schemas.openxmlformats.org/officeDocument/2006/relationships/hyperlink" Target="http://en.wikipedia.org/wiki/Hybrid_warfare" TargetMode="External"/><Relationship Id="rId35" Type="http://schemas.openxmlformats.org/officeDocument/2006/relationships/hyperlink" Target="http://en.wikipedia.org/wiki/Israel_Defense_Forc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en.wikipedia.org/wiki/Conventional_warfare" TargetMode="External"/><Relationship Id="rId25" Type="http://schemas.openxmlformats.org/officeDocument/2006/relationships/hyperlink" Target="http://en.wikipedia.org/wiki/Improvised_explosive_device" TargetMode="External"/><Relationship Id="rId33" Type="http://schemas.openxmlformats.org/officeDocument/2006/relationships/hyperlink" Target="http://en.wikipedia.org/wiki/Hezbollah" TargetMode="Externa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F9378F-BBE3-F74F-A90F-9509EB13C66B}" type="doc">
      <dgm:prSet loTypeId="urn:microsoft.com/office/officeart/2005/8/layout/cycle8" loCatId="" qsTypeId="urn:microsoft.com/office/officeart/2005/8/quickstyle/simple4" qsCatId="simple" csTypeId="urn:microsoft.com/office/officeart/2005/8/colors/accent1_2" csCatId="accent1" phldr="1"/>
      <dgm:spPr/>
    </dgm:pt>
    <dgm:pt modelId="{8651AC1B-D00E-E546-9822-5ADA8FEB6DC5}">
      <dgm:prSet phldrT="[Text]" custT="1"/>
      <dgm:spPr>
        <a:solidFill>
          <a:schemeClr val="tx2">
            <a:lumMod val="50000"/>
          </a:schemeClr>
        </a:solidFill>
      </dgm:spPr>
      <dgm:t>
        <a:bodyPr/>
        <a:lstStyle/>
        <a:p>
          <a:r>
            <a:rPr lang="en-US" sz="1000" b="1" dirty="0">
              <a:latin typeface="Arial Narrow" pitchFamily="34" charset="0"/>
            </a:rPr>
            <a:t>Administrative</a:t>
          </a:r>
        </a:p>
      </dgm:t>
    </dgm:pt>
    <dgm:pt modelId="{47A162C1-73F4-DA49-BBAE-32769AE678FB}" type="parTrans" cxnId="{67502660-2FE4-6045-B731-31FD54343CF7}">
      <dgm:prSet/>
      <dgm:spPr/>
      <dgm:t>
        <a:bodyPr/>
        <a:lstStyle/>
        <a:p>
          <a:endParaRPr lang="en-US"/>
        </a:p>
      </dgm:t>
    </dgm:pt>
    <dgm:pt modelId="{E4D7EEDF-3245-BA42-BB5B-C52A0CFBC8C3}" type="sibTrans" cxnId="{67502660-2FE4-6045-B731-31FD54343CF7}">
      <dgm:prSet/>
      <dgm:spPr/>
      <dgm:t>
        <a:bodyPr/>
        <a:lstStyle/>
        <a:p>
          <a:endParaRPr lang="en-US"/>
        </a:p>
      </dgm:t>
    </dgm:pt>
    <dgm:pt modelId="{0EFDA603-BDC3-B346-A0C4-8CC2504A00B6}">
      <dgm:prSet phldrT="[Text]" custT="1"/>
      <dgm:spPr>
        <a:solidFill>
          <a:schemeClr val="tx2">
            <a:lumMod val="50000"/>
          </a:schemeClr>
        </a:solidFill>
      </dgm:spPr>
      <dgm:t>
        <a:bodyPr/>
        <a:lstStyle/>
        <a:p>
          <a:r>
            <a:rPr lang="en-US" sz="1000" b="1" dirty="0">
              <a:latin typeface="Arial Narrow" pitchFamily="34" charset="0"/>
            </a:rPr>
            <a:t>Experimentation/</a:t>
          </a:r>
        </a:p>
        <a:p>
          <a:r>
            <a:rPr lang="en-US" sz="1000" b="1" dirty="0">
              <a:latin typeface="Arial Narrow" pitchFamily="34" charset="0"/>
            </a:rPr>
            <a:t>Need Analysis/ Inter-operability/ Inter-dependency</a:t>
          </a:r>
        </a:p>
      </dgm:t>
    </dgm:pt>
    <dgm:pt modelId="{EAB68553-FA2F-0640-B633-25DA998DD819}" type="parTrans" cxnId="{DE432931-F15F-9244-93E7-8618945238B7}">
      <dgm:prSet/>
      <dgm:spPr/>
      <dgm:t>
        <a:bodyPr/>
        <a:lstStyle/>
        <a:p>
          <a:endParaRPr lang="en-US"/>
        </a:p>
      </dgm:t>
    </dgm:pt>
    <dgm:pt modelId="{73C0CB5A-4238-1B44-9FE1-C0A07BE45BEC}" type="sibTrans" cxnId="{DE432931-F15F-9244-93E7-8618945238B7}">
      <dgm:prSet/>
      <dgm:spPr/>
      <dgm:t>
        <a:bodyPr/>
        <a:lstStyle/>
        <a:p>
          <a:endParaRPr lang="en-US"/>
        </a:p>
      </dgm:t>
    </dgm:pt>
    <dgm:pt modelId="{34571FAD-12F9-B149-A2AF-F76337B52D58}">
      <dgm:prSet phldrT="[Text]" custT="1"/>
      <dgm:spPr>
        <a:solidFill>
          <a:schemeClr val="tx2">
            <a:lumMod val="50000"/>
          </a:schemeClr>
        </a:solidFill>
      </dgm:spPr>
      <dgm:t>
        <a:bodyPr/>
        <a:lstStyle/>
        <a:p>
          <a:r>
            <a:rPr lang="en-US" sz="1000" b="1" dirty="0">
              <a:latin typeface="Arial Narrow" pitchFamily="34" charset="0"/>
            </a:rPr>
            <a:t>Studies/Analysis</a:t>
          </a:r>
        </a:p>
      </dgm:t>
    </dgm:pt>
    <dgm:pt modelId="{346B8C03-22D4-0645-A745-11E4494101FA}" type="parTrans" cxnId="{A4054C4A-4AED-1A40-AAE4-BFB473D45218}">
      <dgm:prSet/>
      <dgm:spPr/>
      <dgm:t>
        <a:bodyPr/>
        <a:lstStyle/>
        <a:p>
          <a:endParaRPr lang="en-US"/>
        </a:p>
      </dgm:t>
    </dgm:pt>
    <dgm:pt modelId="{1F34E9AE-A4F0-C34D-BCBF-4E30A64425DF}" type="sibTrans" cxnId="{A4054C4A-4AED-1A40-AAE4-BFB473D45218}">
      <dgm:prSet/>
      <dgm:spPr/>
      <dgm:t>
        <a:bodyPr/>
        <a:lstStyle/>
        <a:p>
          <a:endParaRPr lang="en-US"/>
        </a:p>
      </dgm:t>
    </dgm:pt>
    <dgm:pt modelId="{3A65E7A5-9806-BC48-B1DC-3B26859DE34C}">
      <dgm:prSet phldrT="[Text]" custT="1"/>
      <dgm:spPr>
        <a:solidFill>
          <a:schemeClr val="tx2">
            <a:lumMod val="50000"/>
          </a:schemeClr>
        </a:solidFill>
      </dgm:spPr>
      <dgm:t>
        <a:bodyPr/>
        <a:lstStyle/>
        <a:p>
          <a:r>
            <a:rPr lang="en-US" sz="1000" b="1" dirty="0">
              <a:latin typeface="Arial Narrow" pitchFamily="34" charset="0"/>
            </a:rPr>
            <a:t>PPBE</a:t>
          </a:r>
          <a:endParaRPr lang="en-US" sz="1200" b="1" dirty="0">
            <a:latin typeface="Arial Narrow" pitchFamily="34" charset="0"/>
          </a:endParaRPr>
        </a:p>
      </dgm:t>
    </dgm:pt>
    <dgm:pt modelId="{6388F143-5E98-814D-A3E4-3609CCF60EB5}" type="parTrans" cxnId="{DE7AA847-0BB7-C148-8228-E3C39D679129}">
      <dgm:prSet/>
      <dgm:spPr/>
      <dgm:t>
        <a:bodyPr/>
        <a:lstStyle/>
        <a:p>
          <a:endParaRPr lang="en-US"/>
        </a:p>
      </dgm:t>
    </dgm:pt>
    <dgm:pt modelId="{179D4E92-7EA0-054D-B91E-7209CB1664A4}" type="sibTrans" cxnId="{DE7AA847-0BB7-C148-8228-E3C39D679129}">
      <dgm:prSet/>
      <dgm:spPr/>
      <dgm:t>
        <a:bodyPr/>
        <a:lstStyle/>
        <a:p>
          <a:endParaRPr lang="en-US"/>
        </a:p>
      </dgm:t>
    </dgm:pt>
    <dgm:pt modelId="{90A9DC56-3657-A046-956F-B36ACDFF3C5E}" type="pres">
      <dgm:prSet presAssocID="{3CF9378F-BBE3-F74F-A90F-9509EB13C66B}" presName="compositeShape" presStyleCnt="0">
        <dgm:presLayoutVars>
          <dgm:chMax val="7"/>
          <dgm:dir/>
          <dgm:resizeHandles val="exact"/>
        </dgm:presLayoutVars>
      </dgm:prSet>
      <dgm:spPr/>
    </dgm:pt>
    <dgm:pt modelId="{F4721921-8D8C-7E48-95AD-5C14AB76E364}" type="pres">
      <dgm:prSet presAssocID="{3CF9378F-BBE3-F74F-A90F-9509EB13C66B}" presName="wedge1" presStyleLbl="node1" presStyleIdx="0" presStyleCnt="4"/>
      <dgm:spPr/>
    </dgm:pt>
    <dgm:pt modelId="{488238C6-759E-C24F-B037-151A557C20D2}" type="pres">
      <dgm:prSet presAssocID="{3CF9378F-BBE3-F74F-A90F-9509EB13C66B}" presName="dummy1a" presStyleCnt="0"/>
      <dgm:spPr/>
    </dgm:pt>
    <dgm:pt modelId="{7279F134-C37A-1147-8F97-97B8B8EB8560}" type="pres">
      <dgm:prSet presAssocID="{3CF9378F-BBE3-F74F-A90F-9509EB13C66B}" presName="dummy1b" presStyleCnt="0"/>
      <dgm:spPr/>
    </dgm:pt>
    <dgm:pt modelId="{22DC9A9D-FCBA-9242-86BE-9145242D5623}" type="pres">
      <dgm:prSet presAssocID="{3CF9378F-BBE3-F74F-A90F-9509EB13C66B}" presName="wedge1Tx" presStyleLbl="node1" presStyleIdx="0" presStyleCnt="4">
        <dgm:presLayoutVars>
          <dgm:chMax val="0"/>
          <dgm:chPref val="0"/>
          <dgm:bulletEnabled val="1"/>
        </dgm:presLayoutVars>
      </dgm:prSet>
      <dgm:spPr/>
    </dgm:pt>
    <dgm:pt modelId="{F8055A11-D0C9-7846-B512-468F857DC06A}" type="pres">
      <dgm:prSet presAssocID="{3CF9378F-BBE3-F74F-A90F-9509EB13C66B}" presName="wedge2" presStyleLbl="node1" presStyleIdx="1" presStyleCnt="4"/>
      <dgm:spPr/>
    </dgm:pt>
    <dgm:pt modelId="{330C115C-438F-6549-9AE8-B352E5D185A2}" type="pres">
      <dgm:prSet presAssocID="{3CF9378F-BBE3-F74F-A90F-9509EB13C66B}" presName="dummy2a" presStyleCnt="0"/>
      <dgm:spPr/>
    </dgm:pt>
    <dgm:pt modelId="{EA7AB919-5348-AC4F-AF46-63A7E4ED8708}" type="pres">
      <dgm:prSet presAssocID="{3CF9378F-BBE3-F74F-A90F-9509EB13C66B}" presName="dummy2b" presStyleCnt="0"/>
      <dgm:spPr/>
    </dgm:pt>
    <dgm:pt modelId="{63423F68-F88E-0A44-803D-FCFEDA64685F}" type="pres">
      <dgm:prSet presAssocID="{3CF9378F-BBE3-F74F-A90F-9509EB13C66B}" presName="wedge2Tx" presStyleLbl="node1" presStyleIdx="1" presStyleCnt="4">
        <dgm:presLayoutVars>
          <dgm:chMax val="0"/>
          <dgm:chPref val="0"/>
          <dgm:bulletEnabled val="1"/>
        </dgm:presLayoutVars>
      </dgm:prSet>
      <dgm:spPr/>
    </dgm:pt>
    <dgm:pt modelId="{4A057895-A21B-8840-B6FC-19CA6035FEB9}" type="pres">
      <dgm:prSet presAssocID="{3CF9378F-BBE3-F74F-A90F-9509EB13C66B}" presName="wedge3" presStyleLbl="node1" presStyleIdx="2" presStyleCnt="4"/>
      <dgm:spPr/>
    </dgm:pt>
    <dgm:pt modelId="{B6E0B6FD-64F0-7441-BCD6-A8601D1F9E31}" type="pres">
      <dgm:prSet presAssocID="{3CF9378F-BBE3-F74F-A90F-9509EB13C66B}" presName="dummy3a" presStyleCnt="0"/>
      <dgm:spPr/>
    </dgm:pt>
    <dgm:pt modelId="{12AD1A31-8016-D349-AA00-8327366FEB1F}" type="pres">
      <dgm:prSet presAssocID="{3CF9378F-BBE3-F74F-A90F-9509EB13C66B}" presName="dummy3b" presStyleCnt="0"/>
      <dgm:spPr/>
    </dgm:pt>
    <dgm:pt modelId="{A430DA81-45C1-2149-8DDC-F25D6CFD3FE5}" type="pres">
      <dgm:prSet presAssocID="{3CF9378F-BBE3-F74F-A90F-9509EB13C66B}" presName="wedge3Tx" presStyleLbl="node1" presStyleIdx="2" presStyleCnt="4">
        <dgm:presLayoutVars>
          <dgm:chMax val="0"/>
          <dgm:chPref val="0"/>
          <dgm:bulletEnabled val="1"/>
        </dgm:presLayoutVars>
      </dgm:prSet>
      <dgm:spPr/>
    </dgm:pt>
    <dgm:pt modelId="{EC2C962E-E3B9-7C48-932B-1914CD50F07A}" type="pres">
      <dgm:prSet presAssocID="{3CF9378F-BBE3-F74F-A90F-9509EB13C66B}" presName="wedge4" presStyleLbl="node1" presStyleIdx="3" presStyleCnt="4"/>
      <dgm:spPr/>
    </dgm:pt>
    <dgm:pt modelId="{07FCD657-5AF8-CC44-B514-66654D5532D2}" type="pres">
      <dgm:prSet presAssocID="{3CF9378F-BBE3-F74F-A90F-9509EB13C66B}" presName="dummy4a" presStyleCnt="0"/>
      <dgm:spPr/>
    </dgm:pt>
    <dgm:pt modelId="{FC89DD4E-DB89-924A-BED6-6B5B218738DF}" type="pres">
      <dgm:prSet presAssocID="{3CF9378F-BBE3-F74F-A90F-9509EB13C66B}" presName="dummy4b" presStyleCnt="0"/>
      <dgm:spPr/>
    </dgm:pt>
    <dgm:pt modelId="{02B2966F-FCFD-AC4D-9323-1E099C7EA56B}" type="pres">
      <dgm:prSet presAssocID="{3CF9378F-BBE3-F74F-A90F-9509EB13C66B}" presName="wedge4Tx" presStyleLbl="node1" presStyleIdx="3" presStyleCnt="4">
        <dgm:presLayoutVars>
          <dgm:chMax val="0"/>
          <dgm:chPref val="0"/>
          <dgm:bulletEnabled val="1"/>
        </dgm:presLayoutVars>
      </dgm:prSet>
      <dgm:spPr/>
    </dgm:pt>
    <dgm:pt modelId="{3879D20F-B8A3-0146-A274-04C1BBB38084}" type="pres">
      <dgm:prSet presAssocID="{E4D7EEDF-3245-BA42-BB5B-C52A0CFBC8C3}" presName="arrowWedge1" presStyleLbl="fgSibTrans2D1" presStyleIdx="0" presStyleCnt="4"/>
      <dgm:spPr>
        <a:gradFill rotWithShape="0">
          <a:gsLst>
            <a:gs pos="0">
              <a:schemeClr val="tx2">
                <a:lumMod val="40000"/>
                <a:lumOff val="60000"/>
              </a:schemeClr>
            </a:gs>
            <a:gs pos="50000">
              <a:schemeClr val="tx2">
                <a:lumMod val="60000"/>
                <a:lumOff val="40000"/>
              </a:schemeClr>
            </a:gs>
            <a:gs pos="100000">
              <a:schemeClr val="tx2">
                <a:lumMod val="75000"/>
              </a:schemeClr>
            </a:gs>
          </a:gsLst>
        </a:gradFill>
      </dgm:spPr>
    </dgm:pt>
    <dgm:pt modelId="{FA244D74-9E00-FA46-BCF6-24C840C11293}" type="pres">
      <dgm:prSet presAssocID="{1F34E9AE-A4F0-C34D-BCBF-4E30A64425DF}" presName="arrowWedge2" presStyleLbl="fgSibTrans2D1" presStyleIdx="1" presStyleCnt="4"/>
      <dgm:spPr>
        <a:gradFill rotWithShape="0">
          <a:gsLst>
            <a:gs pos="0">
              <a:schemeClr val="tx2">
                <a:lumMod val="40000"/>
                <a:lumOff val="60000"/>
              </a:schemeClr>
            </a:gs>
            <a:gs pos="50000">
              <a:schemeClr val="tx2">
                <a:lumMod val="60000"/>
                <a:lumOff val="40000"/>
              </a:schemeClr>
            </a:gs>
            <a:gs pos="100000">
              <a:schemeClr val="tx2">
                <a:lumMod val="75000"/>
              </a:schemeClr>
            </a:gs>
          </a:gsLst>
        </a:gradFill>
      </dgm:spPr>
    </dgm:pt>
    <dgm:pt modelId="{E6E4AE3D-5274-F440-9231-FF4A111816D6}" type="pres">
      <dgm:prSet presAssocID="{179D4E92-7EA0-054D-B91E-7209CB1664A4}" presName="arrowWedge3" presStyleLbl="fgSibTrans2D1" presStyleIdx="2" presStyleCnt="4"/>
      <dgm:spPr>
        <a:gradFill rotWithShape="0">
          <a:gsLst>
            <a:gs pos="0">
              <a:schemeClr val="tx2">
                <a:lumMod val="40000"/>
                <a:lumOff val="60000"/>
              </a:schemeClr>
            </a:gs>
            <a:gs pos="0">
              <a:schemeClr val="tx2">
                <a:lumMod val="75000"/>
              </a:schemeClr>
            </a:gs>
            <a:gs pos="50000">
              <a:schemeClr val="tx2">
                <a:lumMod val="60000"/>
                <a:lumOff val="40000"/>
              </a:schemeClr>
            </a:gs>
            <a:gs pos="100000">
              <a:schemeClr val="tx2">
                <a:lumMod val="40000"/>
                <a:lumOff val="60000"/>
              </a:schemeClr>
            </a:gs>
          </a:gsLst>
        </a:gradFill>
      </dgm:spPr>
    </dgm:pt>
    <dgm:pt modelId="{B1FCFBD5-B224-4341-8B47-2045EEC11B22}" type="pres">
      <dgm:prSet presAssocID="{73C0CB5A-4238-1B44-9FE1-C0A07BE45BEC}" presName="arrowWedge4" presStyleLbl="fgSibTrans2D1" presStyleIdx="3" presStyleCnt="4"/>
      <dgm:spPr>
        <a:gradFill rotWithShape="0">
          <a:gsLst>
            <a:gs pos="0">
              <a:schemeClr val="tx2">
                <a:lumMod val="75000"/>
              </a:schemeClr>
            </a:gs>
            <a:gs pos="0">
              <a:schemeClr val="tx2">
                <a:lumMod val="75000"/>
              </a:schemeClr>
            </a:gs>
            <a:gs pos="50000">
              <a:schemeClr val="tx2">
                <a:lumMod val="60000"/>
                <a:lumOff val="40000"/>
              </a:schemeClr>
            </a:gs>
            <a:gs pos="100000">
              <a:schemeClr val="tx2">
                <a:lumMod val="40000"/>
                <a:lumOff val="60000"/>
              </a:schemeClr>
            </a:gs>
          </a:gsLst>
        </a:gradFill>
      </dgm:spPr>
    </dgm:pt>
  </dgm:ptLst>
  <dgm:cxnLst>
    <dgm:cxn modelId="{3BE02203-4451-4781-88FE-10E6E68FA183}" type="presOf" srcId="{34571FAD-12F9-B149-A2AF-F76337B52D58}" destId="{63423F68-F88E-0A44-803D-FCFEDA64685F}" srcOrd="1" destOrd="0" presId="urn:microsoft.com/office/officeart/2005/8/layout/cycle8"/>
    <dgm:cxn modelId="{F3ACCB0C-0E8D-4AAE-8267-0F1F93F4003D}" type="presOf" srcId="{8651AC1B-D00E-E546-9822-5ADA8FEB6DC5}" destId="{F4721921-8D8C-7E48-95AD-5C14AB76E364}" srcOrd="0" destOrd="0" presId="urn:microsoft.com/office/officeart/2005/8/layout/cycle8"/>
    <dgm:cxn modelId="{EE336B26-4BF0-4A68-95A8-4D791F79A27E}" type="presOf" srcId="{3CF9378F-BBE3-F74F-A90F-9509EB13C66B}" destId="{90A9DC56-3657-A046-956F-B36ACDFF3C5E}" srcOrd="0" destOrd="0" presId="urn:microsoft.com/office/officeart/2005/8/layout/cycle8"/>
    <dgm:cxn modelId="{DE432931-F15F-9244-93E7-8618945238B7}" srcId="{3CF9378F-BBE3-F74F-A90F-9509EB13C66B}" destId="{0EFDA603-BDC3-B346-A0C4-8CC2504A00B6}" srcOrd="3" destOrd="0" parTransId="{EAB68553-FA2F-0640-B633-25DA998DD819}" sibTransId="{73C0CB5A-4238-1B44-9FE1-C0A07BE45BEC}"/>
    <dgm:cxn modelId="{A9735037-FE37-4FCD-80B0-F642D979DA56}" type="presOf" srcId="{8651AC1B-D00E-E546-9822-5ADA8FEB6DC5}" destId="{22DC9A9D-FCBA-9242-86BE-9145242D5623}" srcOrd="1" destOrd="0" presId="urn:microsoft.com/office/officeart/2005/8/layout/cycle8"/>
    <dgm:cxn modelId="{67502660-2FE4-6045-B731-31FD54343CF7}" srcId="{3CF9378F-BBE3-F74F-A90F-9509EB13C66B}" destId="{8651AC1B-D00E-E546-9822-5ADA8FEB6DC5}" srcOrd="0" destOrd="0" parTransId="{47A162C1-73F4-DA49-BBAE-32769AE678FB}" sibTransId="{E4D7EEDF-3245-BA42-BB5B-C52A0CFBC8C3}"/>
    <dgm:cxn modelId="{DE7AA847-0BB7-C148-8228-E3C39D679129}" srcId="{3CF9378F-BBE3-F74F-A90F-9509EB13C66B}" destId="{3A65E7A5-9806-BC48-B1DC-3B26859DE34C}" srcOrd="2" destOrd="0" parTransId="{6388F143-5E98-814D-A3E4-3609CCF60EB5}" sibTransId="{179D4E92-7EA0-054D-B91E-7209CB1664A4}"/>
    <dgm:cxn modelId="{A4054C4A-4AED-1A40-AAE4-BFB473D45218}" srcId="{3CF9378F-BBE3-F74F-A90F-9509EB13C66B}" destId="{34571FAD-12F9-B149-A2AF-F76337B52D58}" srcOrd="1" destOrd="0" parTransId="{346B8C03-22D4-0645-A745-11E4494101FA}" sibTransId="{1F34E9AE-A4F0-C34D-BCBF-4E30A64425DF}"/>
    <dgm:cxn modelId="{99708C6E-38F2-4109-9E53-746DE6E12FE6}" type="presOf" srcId="{0EFDA603-BDC3-B346-A0C4-8CC2504A00B6}" destId="{02B2966F-FCFD-AC4D-9323-1E099C7EA56B}" srcOrd="1" destOrd="0" presId="urn:microsoft.com/office/officeart/2005/8/layout/cycle8"/>
    <dgm:cxn modelId="{29CB0D82-AAF1-450F-A68C-55D28BA4B849}" type="presOf" srcId="{3A65E7A5-9806-BC48-B1DC-3B26859DE34C}" destId="{A430DA81-45C1-2149-8DDC-F25D6CFD3FE5}" srcOrd="1" destOrd="0" presId="urn:microsoft.com/office/officeart/2005/8/layout/cycle8"/>
    <dgm:cxn modelId="{AABF32A2-827A-4248-8528-B4CD5917ABCF}" type="presOf" srcId="{0EFDA603-BDC3-B346-A0C4-8CC2504A00B6}" destId="{EC2C962E-E3B9-7C48-932B-1914CD50F07A}" srcOrd="0" destOrd="0" presId="urn:microsoft.com/office/officeart/2005/8/layout/cycle8"/>
    <dgm:cxn modelId="{2F3C85BE-5B6B-4ECB-BAF2-97E485D19B44}" type="presOf" srcId="{34571FAD-12F9-B149-A2AF-F76337B52D58}" destId="{F8055A11-D0C9-7846-B512-468F857DC06A}" srcOrd="0" destOrd="0" presId="urn:microsoft.com/office/officeart/2005/8/layout/cycle8"/>
    <dgm:cxn modelId="{40540CF0-05C1-41C2-A29F-DCBB4F1E162F}" type="presOf" srcId="{3A65E7A5-9806-BC48-B1DC-3B26859DE34C}" destId="{4A057895-A21B-8840-B6FC-19CA6035FEB9}" srcOrd="0" destOrd="0" presId="urn:microsoft.com/office/officeart/2005/8/layout/cycle8"/>
    <dgm:cxn modelId="{5305DB61-CB16-4723-9784-874C87E20F8C}" type="presParOf" srcId="{90A9DC56-3657-A046-956F-B36ACDFF3C5E}" destId="{F4721921-8D8C-7E48-95AD-5C14AB76E364}" srcOrd="0" destOrd="0" presId="urn:microsoft.com/office/officeart/2005/8/layout/cycle8"/>
    <dgm:cxn modelId="{9C9BEF8D-2594-4E4E-8558-AC41373F2F4E}" type="presParOf" srcId="{90A9DC56-3657-A046-956F-B36ACDFF3C5E}" destId="{488238C6-759E-C24F-B037-151A557C20D2}" srcOrd="1" destOrd="0" presId="urn:microsoft.com/office/officeart/2005/8/layout/cycle8"/>
    <dgm:cxn modelId="{3F85EEE5-9FE7-4068-B78B-E40BBC38AA4F}" type="presParOf" srcId="{90A9DC56-3657-A046-956F-B36ACDFF3C5E}" destId="{7279F134-C37A-1147-8F97-97B8B8EB8560}" srcOrd="2" destOrd="0" presId="urn:microsoft.com/office/officeart/2005/8/layout/cycle8"/>
    <dgm:cxn modelId="{67F298EF-9852-4FE0-A9B3-B9A83CC91CAB}" type="presParOf" srcId="{90A9DC56-3657-A046-956F-B36ACDFF3C5E}" destId="{22DC9A9D-FCBA-9242-86BE-9145242D5623}" srcOrd="3" destOrd="0" presId="urn:microsoft.com/office/officeart/2005/8/layout/cycle8"/>
    <dgm:cxn modelId="{F8535F09-8B56-41CD-8731-C2E062E828DB}" type="presParOf" srcId="{90A9DC56-3657-A046-956F-B36ACDFF3C5E}" destId="{F8055A11-D0C9-7846-B512-468F857DC06A}" srcOrd="4" destOrd="0" presId="urn:microsoft.com/office/officeart/2005/8/layout/cycle8"/>
    <dgm:cxn modelId="{03FD2884-9CC8-4A51-9E8D-0C74DAB10F09}" type="presParOf" srcId="{90A9DC56-3657-A046-956F-B36ACDFF3C5E}" destId="{330C115C-438F-6549-9AE8-B352E5D185A2}" srcOrd="5" destOrd="0" presId="urn:microsoft.com/office/officeart/2005/8/layout/cycle8"/>
    <dgm:cxn modelId="{61E4F899-5F7A-4214-A602-B8D30F42CBB7}" type="presParOf" srcId="{90A9DC56-3657-A046-956F-B36ACDFF3C5E}" destId="{EA7AB919-5348-AC4F-AF46-63A7E4ED8708}" srcOrd="6" destOrd="0" presId="urn:microsoft.com/office/officeart/2005/8/layout/cycle8"/>
    <dgm:cxn modelId="{DD8492C5-C060-49F3-8422-18A13A75E0A3}" type="presParOf" srcId="{90A9DC56-3657-A046-956F-B36ACDFF3C5E}" destId="{63423F68-F88E-0A44-803D-FCFEDA64685F}" srcOrd="7" destOrd="0" presId="urn:microsoft.com/office/officeart/2005/8/layout/cycle8"/>
    <dgm:cxn modelId="{1060391E-6EEA-4834-8C92-D14D4FDA174F}" type="presParOf" srcId="{90A9DC56-3657-A046-956F-B36ACDFF3C5E}" destId="{4A057895-A21B-8840-B6FC-19CA6035FEB9}" srcOrd="8" destOrd="0" presId="urn:microsoft.com/office/officeart/2005/8/layout/cycle8"/>
    <dgm:cxn modelId="{93396765-5335-4D5E-AFEB-D9FB1EEBCCF7}" type="presParOf" srcId="{90A9DC56-3657-A046-956F-B36ACDFF3C5E}" destId="{B6E0B6FD-64F0-7441-BCD6-A8601D1F9E31}" srcOrd="9" destOrd="0" presId="urn:microsoft.com/office/officeart/2005/8/layout/cycle8"/>
    <dgm:cxn modelId="{DA8CFDD0-4E28-49E1-B55C-A14DCC86379A}" type="presParOf" srcId="{90A9DC56-3657-A046-956F-B36ACDFF3C5E}" destId="{12AD1A31-8016-D349-AA00-8327366FEB1F}" srcOrd="10" destOrd="0" presId="urn:microsoft.com/office/officeart/2005/8/layout/cycle8"/>
    <dgm:cxn modelId="{C0A57E5C-0D22-46E8-A243-36A5874B00C6}" type="presParOf" srcId="{90A9DC56-3657-A046-956F-B36ACDFF3C5E}" destId="{A430DA81-45C1-2149-8DDC-F25D6CFD3FE5}" srcOrd="11" destOrd="0" presId="urn:microsoft.com/office/officeart/2005/8/layout/cycle8"/>
    <dgm:cxn modelId="{0EF7E319-3819-4CFE-AB0E-9BDF580A57C4}" type="presParOf" srcId="{90A9DC56-3657-A046-956F-B36ACDFF3C5E}" destId="{EC2C962E-E3B9-7C48-932B-1914CD50F07A}" srcOrd="12" destOrd="0" presId="urn:microsoft.com/office/officeart/2005/8/layout/cycle8"/>
    <dgm:cxn modelId="{D515B2A6-FB0C-488A-A13B-FC83938A6E78}" type="presParOf" srcId="{90A9DC56-3657-A046-956F-B36ACDFF3C5E}" destId="{07FCD657-5AF8-CC44-B514-66654D5532D2}" srcOrd="13" destOrd="0" presId="urn:microsoft.com/office/officeart/2005/8/layout/cycle8"/>
    <dgm:cxn modelId="{E131D3AE-85B4-4CC8-ADA4-7D6963B84C02}" type="presParOf" srcId="{90A9DC56-3657-A046-956F-B36ACDFF3C5E}" destId="{FC89DD4E-DB89-924A-BED6-6B5B218738DF}" srcOrd="14" destOrd="0" presId="urn:microsoft.com/office/officeart/2005/8/layout/cycle8"/>
    <dgm:cxn modelId="{FA2A0011-A9BA-4CA6-969C-84C1C5D87029}" type="presParOf" srcId="{90A9DC56-3657-A046-956F-B36ACDFF3C5E}" destId="{02B2966F-FCFD-AC4D-9323-1E099C7EA56B}" srcOrd="15" destOrd="0" presId="urn:microsoft.com/office/officeart/2005/8/layout/cycle8"/>
    <dgm:cxn modelId="{2BB240D6-8D98-4AE1-9D84-3F94F28E0D19}" type="presParOf" srcId="{90A9DC56-3657-A046-956F-B36ACDFF3C5E}" destId="{3879D20F-B8A3-0146-A274-04C1BBB38084}" srcOrd="16" destOrd="0" presId="urn:microsoft.com/office/officeart/2005/8/layout/cycle8"/>
    <dgm:cxn modelId="{746F64E4-64EA-48DB-9BFC-1D956CA5126F}" type="presParOf" srcId="{90A9DC56-3657-A046-956F-B36ACDFF3C5E}" destId="{FA244D74-9E00-FA46-BCF6-24C840C11293}" srcOrd="17" destOrd="0" presId="urn:microsoft.com/office/officeart/2005/8/layout/cycle8"/>
    <dgm:cxn modelId="{D37369B6-47AF-4860-B9A0-C7C3147A44F9}" type="presParOf" srcId="{90A9DC56-3657-A046-956F-B36ACDFF3C5E}" destId="{E6E4AE3D-5274-F440-9231-FF4A111816D6}" srcOrd="18" destOrd="0" presId="urn:microsoft.com/office/officeart/2005/8/layout/cycle8"/>
    <dgm:cxn modelId="{EDAC67F5-C6E6-474A-AA58-21078F16EF92}" type="presParOf" srcId="{90A9DC56-3657-A046-956F-B36ACDFF3C5E}" destId="{B1FCFBD5-B224-4341-8B47-2045EEC11B22}" srcOrd="1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721921-8D8C-7E48-95AD-5C14AB76E364}">
      <dsp:nvSpPr>
        <dsp:cNvPr id="0" name=""/>
        <dsp:cNvSpPr/>
      </dsp:nvSpPr>
      <dsp:spPr>
        <a:xfrm>
          <a:off x="1023646" y="177841"/>
          <a:ext cx="2496312" cy="2496312"/>
        </a:xfrm>
        <a:prstGeom prst="pie">
          <a:avLst>
            <a:gd name="adj1" fmla="val 16200000"/>
            <a:gd name="adj2" fmla="val 0"/>
          </a:avLst>
        </a:prstGeom>
        <a:solidFill>
          <a:schemeClr val="tx2">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Narrow" pitchFamily="34" charset="0"/>
            </a:rPr>
            <a:t>Administrative</a:t>
          </a:r>
        </a:p>
      </dsp:txBody>
      <dsp:txXfrm>
        <a:off x="2348772" y="695231"/>
        <a:ext cx="921258" cy="683514"/>
      </dsp:txXfrm>
    </dsp:sp>
    <dsp:sp modelId="{F8055A11-D0C9-7846-B512-468F857DC06A}">
      <dsp:nvSpPr>
        <dsp:cNvPr id="0" name=""/>
        <dsp:cNvSpPr/>
      </dsp:nvSpPr>
      <dsp:spPr>
        <a:xfrm>
          <a:off x="1023646" y="261646"/>
          <a:ext cx="2496312" cy="2496312"/>
        </a:xfrm>
        <a:prstGeom prst="pie">
          <a:avLst>
            <a:gd name="adj1" fmla="val 0"/>
            <a:gd name="adj2" fmla="val 5400000"/>
          </a:avLst>
        </a:prstGeom>
        <a:solidFill>
          <a:schemeClr val="tx2">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Narrow" pitchFamily="34" charset="0"/>
            </a:rPr>
            <a:t>Studies/Analysis</a:t>
          </a:r>
        </a:p>
      </dsp:txBody>
      <dsp:txXfrm>
        <a:off x="2348772" y="1557053"/>
        <a:ext cx="921258" cy="683514"/>
      </dsp:txXfrm>
    </dsp:sp>
    <dsp:sp modelId="{4A057895-A21B-8840-B6FC-19CA6035FEB9}">
      <dsp:nvSpPr>
        <dsp:cNvPr id="0" name=""/>
        <dsp:cNvSpPr/>
      </dsp:nvSpPr>
      <dsp:spPr>
        <a:xfrm>
          <a:off x="939841" y="261646"/>
          <a:ext cx="2496312" cy="2496312"/>
        </a:xfrm>
        <a:prstGeom prst="pie">
          <a:avLst>
            <a:gd name="adj1" fmla="val 5400000"/>
            <a:gd name="adj2" fmla="val 10800000"/>
          </a:avLst>
        </a:prstGeom>
        <a:solidFill>
          <a:schemeClr val="tx2">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Narrow" pitchFamily="34" charset="0"/>
            </a:rPr>
            <a:t>PPBE</a:t>
          </a:r>
          <a:endParaRPr lang="en-US" sz="1200" b="1" kern="1200" dirty="0">
            <a:latin typeface="Arial Narrow" pitchFamily="34" charset="0"/>
          </a:endParaRPr>
        </a:p>
      </dsp:txBody>
      <dsp:txXfrm>
        <a:off x="1189770" y="1557053"/>
        <a:ext cx="921258" cy="683514"/>
      </dsp:txXfrm>
    </dsp:sp>
    <dsp:sp modelId="{EC2C962E-E3B9-7C48-932B-1914CD50F07A}">
      <dsp:nvSpPr>
        <dsp:cNvPr id="0" name=""/>
        <dsp:cNvSpPr/>
      </dsp:nvSpPr>
      <dsp:spPr>
        <a:xfrm>
          <a:off x="939841" y="177841"/>
          <a:ext cx="2496312" cy="2496312"/>
        </a:xfrm>
        <a:prstGeom prst="pie">
          <a:avLst>
            <a:gd name="adj1" fmla="val 10800000"/>
            <a:gd name="adj2" fmla="val 16200000"/>
          </a:avLst>
        </a:prstGeom>
        <a:solidFill>
          <a:schemeClr val="tx2">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Narrow" pitchFamily="34" charset="0"/>
            </a:rPr>
            <a:t>Experimentation/</a:t>
          </a:r>
        </a:p>
        <a:p>
          <a:pPr marL="0" lvl="0" indent="0" algn="ctr" defTabSz="444500">
            <a:lnSpc>
              <a:spcPct val="90000"/>
            </a:lnSpc>
            <a:spcBef>
              <a:spcPct val="0"/>
            </a:spcBef>
            <a:spcAft>
              <a:spcPct val="35000"/>
            </a:spcAft>
            <a:buNone/>
          </a:pPr>
          <a:r>
            <a:rPr lang="en-US" sz="1000" b="1" kern="1200" dirty="0">
              <a:latin typeface="Arial Narrow" pitchFamily="34" charset="0"/>
            </a:rPr>
            <a:t>Need Analysis/ Inter-operability/ Inter-dependency</a:t>
          </a:r>
        </a:p>
      </dsp:txBody>
      <dsp:txXfrm>
        <a:off x="1189770" y="695231"/>
        <a:ext cx="921258" cy="683514"/>
      </dsp:txXfrm>
    </dsp:sp>
    <dsp:sp modelId="{3879D20F-B8A3-0146-A274-04C1BBB38084}">
      <dsp:nvSpPr>
        <dsp:cNvPr id="0" name=""/>
        <dsp:cNvSpPr/>
      </dsp:nvSpPr>
      <dsp:spPr>
        <a:xfrm>
          <a:off x="869112" y="23308"/>
          <a:ext cx="2805379" cy="2805379"/>
        </a:xfrm>
        <a:prstGeom prst="circularArrow">
          <a:avLst>
            <a:gd name="adj1" fmla="val 5085"/>
            <a:gd name="adj2" fmla="val 327528"/>
            <a:gd name="adj3" fmla="val 21272472"/>
            <a:gd name="adj4" fmla="val 16200000"/>
            <a:gd name="adj5" fmla="val 5932"/>
          </a:avLst>
        </a:prstGeom>
        <a:gradFill rotWithShape="0">
          <a:gsLst>
            <a:gs pos="0">
              <a:schemeClr val="tx2">
                <a:lumMod val="40000"/>
                <a:lumOff val="60000"/>
              </a:schemeClr>
            </a:gs>
            <a:gs pos="50000">
              <a:schemeClr val="tx2">
                <a:lumMod val="60000"/>
                <a:lumOff val="40000"/>
              </a:schemeClr>
            </a:gs>
            <a:gs pos="100000">
              <a:schemeClr val="tx2">
                <a:lumMod val="7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A244D74-9E00-FA46-BCF6-24C840C11293}">
      <dsp:nvSpPr>
        <dsp:cNvPr id="0" name=""/>
        <dsp:cNvSpPr/>
      </dsp:nvSpPr>
      <dsp:spPr>
        <a:xfrm>
          <a:off x="869112" y="107112"/>
          <a:ext cx="2805379" cy="2805379"/>
        </a:xfrm>
        <a:prstGeom prst="circularArrow">
          <a:avLst>
            <a:gd name="adj1" fmla="val 5085"/>
            <a:gd name="adj2" fmla="val 327528"/>
            <a:gd name="adj3" fmla="val 5072472"/>
            <a:gd name="adj4" fmla="val 0"/>
            <a:gd name="adj5" fmla="val 5932"/>
          </a:avLst>
        </a:prstGeom>
        <a:gradFill rotWithShape="0">
          <a:gsLst>
            <a:gs pos="0">
              <a:schemeClr val="tx2">
                <a:lumMod val="40000"/>
                <a:lumOff val="60000"/>
              </a:schemeClr>
            </a:gs>
            <a:gs pos="50000">
              <a:schemeClr val="tx2">
                <a:lumMod val="60000"/>
                <a:lumOff val="40000"/>
              </a:schemeClr>
            </a:gs>
            <a:gs pos="100000">
              <a:schemeClr val="tx2">
                <a:lumMod val="7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6E4AE3D-5274-F440-9231-FF4A111816D6}">
      <dsp:nvSpPr>
        <dsp:cNvPr id="0" name=""/>
        <dsp:cNvSpPr/>
      </dsp:nvSpPr>
      <dsp:spPr>
        <a:xfrm>
          <a:off x="785308" y="107112"/>
          <a:ext cx="2805379" cy="2805379"/>
        </a:xfrm>
        <a:prstGeom prst="circularArrow">
          <a:avLst>
            <a:gd name="adj1" fmla="val 5085"/>
            <a:gd name="adj2" fmla="val 327528"/>
            <a:gd name="adj3" fmla="val 10472472"/>
            <a:gd name="adj4" fmla="val 5400000"/>
            <a:gd name="adj5" fmla="val 5932"/>
          </a:avLst>
        </a:prstGeom>
        <a:gradFill rotWithShape="0">
          <a:gsLst>
            <a:gs pos="0">
              <a:schemeClr val="tx2">
                <a:lumMod val="40000"/>
                <a:lumOff val="60000"/>
              </a:schemeClr>
            </a:gs>
            <a:gs pos="0">
              <a:schemeClr val="tx2">
                <a:lumMod val="75000"/>
              </a:schemeClr>
            </a:gs>
            <a:gs pos="50000">
              <a:schemeClr val="tx2">
                <a:lumMod val="60000"/>
                <a:lumOff val="40000"/>
              </a:schemeClr>
            </a:gs>
            <a:gs pos="100000">
              <a:schemeClr val="tx2">
                <a:lumMod val="40000"/>
                <a:lumOff val="6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1FCFBD5-B224-4341-8B47-2045EEC11B22}">
      <dsp:nvSpPr>
        <dsp:cNvPr id="0" name=""/>
        <dsp:cNvSpPr/>
      </dsp:nvSpPr>
      <dsp:spPr>
        <a:xfrm>
          <a:off x="785308" y="23308"/>
          <a:ext cx="2805379" cy="2805379"/>
        </a:xfrm>
        <a:prstGeom prst="circularArrow">
          <a:avLst>
            <a:gd name="adj1" fmla="val 5085"/>
            <a:gd name="adj2" fmla="val 327528"/>
            <a:gd name="adj3" fmla="val 15872472"/>
            <a:gd name="adj4" fmla="val 10800000"/>
            <a:gd name="adj5" fmla="val 5932"/>
          </a:avLst>
        </a:prstGeom>
        <a:gradFill rotWithShape="0">
          <a:gsLst>
            <a:gs pos="0">
              <a:schemeClr val="tx2">
                <a:lumMod val="75000"/>
              </a:schemeClr>
            </a:gs>
            <a:gs pos="0">
              <a:schemeClr val="tx2">
                <a:lumMod val="75000"/>
              </a:schemeClr>
            </a:gs>
            <a:gs pos="50000">
              <a:schemeClr val="tx2">
                <a:lumMod val="60000"/>
                <a:lumOff val="40000"/>
              </a:schemeClr>
            </a:gs>
            <a:gs pos="100000">
              <a:schemeClr val="tx2">
                <a:lumMod val="40000"/>
                <a:lumOff val="6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ST Color Palette">
      <a:dk1>
        <a:sysClr val="windowText" lastClr="000000"/>
      </a:dk1>
      <a:lt1>
        <a:sysClr val="window" lastClr="FFFFFF"/>
      </a:lt1>
      <a:dk2>
        <a:srgbClr val="1F497D"/>
      </a:dk2>
      <a:lt2>
        <a:srgbClr val="EEECE1"/>
      </a:lt2>
      <a:accent1>
        <a:srgbClr val="145BBC"/>
      </a:accent1>
      <a:accent2>
        <a:srgbClr val="1C74BC"/>
      </a:accent2>
      <a:accent3>
        <a:srgbClr val="74A43B"/>
      </a:accent3>
      <a:accent4>
        <a:srgbClr val="757C7D"/>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7D0B2-CD3A-42C2-A491-80E7212A6C58}">
  <ds:schemaRefs>
    <ds:schemaRef ds:uri="http://schemas.microsoft.com/sharepoint/v3/contenttype/forms"/>
  </ds:schemaRefs>
</ds:datastoreItem>
</file>

<file path=customXml/itemProps2.xml><?xml version="1.0" encoding="utf-8"?>
<ds:datastoreItem xmlns:ds="http://schemas.openxmlformats.org/officeDocument/2006/customXml" ds:itemID="{5B8E221C-2455-4086-A6EC-2D1891F8464C}">
  <ds:schemaRefs>
    <ds:schemaRef ds:uri="http://schemas.microsoft.com/office/2006/metadata/properties"/>
    <ds:schemaRef ds:uri="http://schemas.microsoft.com/office/infopath/2007/PartnerControls"/>
    <ds:schemaRef ds:uri="6f577870-d1bc-435a-a875-457a02ffe45a"/>
    <ds:schemaRef ds:uri="0d2c0b90-7933-4143-90fc-02bd1832f434"/>
  </ds:schemaRefs>
</ds:datastoreItem>
</file>

<file path=customXml/itemProps3.xml><?xml version="1.0" encoding="utf-8"?>
<ds:datastoreItem xmlns:ds="http://schemas.openxmlformats.org/officeDocument/2006/customXml" ds:itemID="{E21119B5-0C66-4536-9FF1-6045E96A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08974-ee81-4d92-9938-53236a4d7764"/>
    <ds:schemaRef ds:uri="fa932a79-22aa-4d37-91cf-c80e1fe92fa2"/>
    <ds:schemaRef ds:uri="0d2c0b90-7933-4143-90fc-02bd1832f434"/>
    <ds:schemaRef ds:uri="6f577870-d1bc-435a-a875-457a02ffe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B09D2-B81B-4739-8F6A-B3AF3514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33019</CharactersWithSpaces>
  <SharedDoc>false</SharedDoc>
  <HLinks>
    <vt:vector size="72" baseType="variant">
      <vt:variant>
        <vt:i4>1310774</vt:i4>
      </vt:variant>
      <vt:variant>
        <vt:i4>125</vt:i4>
      </vt:variant>
      <vt:variant>
        <vt:i4>0</vt:i4>
      </vt:variant>
      <vt:variant>
        <vt:i4>5</vt:i4>
      </vt:variant>
      <vt:variant>
        <vt:lpwstr/>
      </vt:variant>
      <vt:variant>
        <vt:lpwstr>_Toc324151411</vt:lpwstr>
      </vt:variant>
      <vt:variant>
        <vt:i4>1310774</vt:i4>
      </vt:variant>
      <vt:variant>
        <vt:i4>119</vt:i4>
      </vt:variant>
      <vt:variant>
        <vt:i4>0</vt:i4>
      </vt:variant>
      <vt:variant>
        <vt:i4>5</vt:i4>
      </vt:variant>
      <vt:variant>
        <vt:lpwstr/>
      </vt:variant>
      <vt:variant>
        <vt:lpwstr>_Toc324151410</vt:lpwstr>
      </vt:variant>
      <vt:variant>
        <vt:i4>1376310</vt:i4>
      </vt:variant>
      <vt:variant>
        <vt:i4>113</vt:i4>
      </vt:variant>
      <vt:variant>
        <vt:i4>0</vt:i4>
      </vt:variant>
      <vt:variant>
        <vt:i4>5</vt:i4>
      </vt:variant>
      <vt:variant>
        <vt:lpwstr/>
      </vt:variant>
      <vt:variant>
        <vt:lpwstr>_Toc324151409</vt:lpwstr>
      </vt:variant>
      <vt:variant>
        <vt:i4>1376310</vt:i4>
      </vt:variant>
      <vt:variant>
        <vt:i4>107</vt:i4>
      </vt:variant>
      <vt:variant>
        <vt:i4>0</vt:i4>
      </vt:variant>
      <vt:variant>
        <vt:i4>5</vt:i4>
      </vt:variant>
      <vt:variant>
        <vt:lpwstr/>
      </vt:variant>
      <vt:variant>
        <vt:lpwstr>_Toc324151408</vt:lpwstr>
      </vt:variant>
      <vt:variant>
        <vt:i4>1376310</vt:i4>
      </vt:variant>
      <vt:variant>
        <vt:i4>101</vt:i4>
      </vt:variant>
      <vt:variant>
        <vt:i4>0</vt:i4>
      </vt:variant>
      <vt:variant>
        <vt:i4>5</vt:i4>
      </vt:variant>
      <vt:variant>
        <vt:lpwstr/>
      </vt:variant>
      <vt:variant>
        <vt:lpwstr>_Toc324151407</vt:lpwstr>
      </vt:variant>
      <vt:variant>
        <vt:i4>1376310</vt:i4>
      </vt:variant>
      <vt:variant>
        <vt:i4>95</vt:i4>
      </vt:variant>
      <vt:variant>
        <vt:i4>0</vt:i4>
      </vt:variant>
      <vt:variant>
        <vt:i4>5</vt:i4>
      </vt:variant>
      <vt:variant>
        <vt:lpwstr/>
      </vt:variant>
      <vt:variant>
        <vt:lpwstr>_Toc324151406</vt:lpwstr>
      </vt:variant>
      <vt:variant>
        <vt:i4>1376310</vt:i4>
      </vt:variant>
      <vt:variant>
        <vt:i4>89</vt:i4>
      </vt:variant>
      <vt:variant>
        <vt:i4>0</vt:i4>
      </vt:variant>
      <vt:variant>
        <vt:i4>5</vt:i4>
      </vt:variant>
      <vt:variant>
        <vt:lpwstr/>
      </vt:variant>
      <vt:variant>
        <vt:lpwstr>_Toc324151405</vt:lpwstr>
      </vt:variant>
      <vt:variant>
        <vt:i4>1376310</vt:i4>
      </vt:variant>
      <vt:variant>
        <vt:i4>83</vt:i4>
      </vt:variant>
      <vt:variant>
        <vt:i4>0</vt:i4>
      </vt:variant>
      <vt:variant>
        <vt:i4>5</vt:i4>
      </vt:variant>
      <vt:variant>
        <vt:lpwstr/>
      </vt:variant>
      <vt:variant>
        <vt:lpwstr>_Toc324151404</vt:lpwstr>
      </vt:variant>
      <vt:variant>
        <vt:i4>1376310</vt:i4>
      </vt:variant>
      <vt:variant>
        <vt:i4>77</vt:i4>
      </vt:variant>
      <vt:variant>
        <vt:i4>0</vt:i4>
      </vt:variant>
      <vt:variant>
        <vt:i4>5</vt:i4>
      </vt:variant>
      <vt:variant>
        <vt:lpwstr/>
      </vt:variant>
      <vt:variant>
        <vt:lpwstr>_Toc324151403</vt:lpwstr>
      </vt:variant>
      <vt:variant>
        <vt:i4>4849706</vt:i4>
      </vt:variant>
      <vt:variant>
        <vt:i4>6</vt:i4>
      </vt:variant>
      <vt:variant>
        <vt:i4>0</vt:i4>
      </vt:variant>
      <vt:variant>
        <vt:i4>5</vt:i4>
      </vt:variant>
      <vt:variant>
        <vt:lpwstr>mailto:scott.feldmayer@barbaricum.com</vt:lpwstr>
      </vt:variant>
      <vt:variant>
        <vt:lpwstr/>
      </vt:variant>
      <vt:variant>
        <vt:i4>6029372</vt:i4>
      </vt:variant>
      <vt:variant>
        <vt:i4>3</vt:i4>
      </vt:variant>
      <vt:variant>
        <vt:i4>0</vt:i4>
      </vt:variant>
      <vt:variant>
        <vt:i4>5</vt:i4>
      </vt:variant>
      <vt:variant>
        <vt:lpwstr>mailto:hyong.y.chung.civ@mail.mil</vt:lpwstr>
      </vt:variant>
      <vt:variant>
        <vt:lpwstr/>
      </vt:variant>
      <vt:variant>
        <vt:i4>2359370</vt:i4>
      </vt:variant>
      <vt:variant>
        <vt:i4>0</vt:i4>
      </vt:variant>
      <vt:variant>
        <vt:i4>0</vt:i4>
      </vt:variant>
      <vt:variant>
        <vt:i4>5</vt:i4>
      </vt:variant>
      <vt:variant>
        <vt:lpwstr>mailto:matthew.t.schupbach.civ@mail.mil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2013-06-25T11:49:00Z</dcterms:created>
  <dcterms:modified xsi:type="dcterms:W3CDTF">2024-05-10T15:08:00Z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14500</vt:r8>
  </property>
  <property fmtid="{D5CDD505-2E9C-101B-9397-08002B2CF9AE}" pid="4" name="MediaServiceImageTags">
    <vt:lpwstr/>
  </property>
</Properties>
</file>